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4E3696">
            <w:rPr>
              <w:rStyle w:val="Style1"/>
            </w:rPr>
            <w:t>N/A</w:t>
          </w:r>
        </w:sdtContent>
      </w:sdt>
    </w:p>
    <w:p w:rsidR="00496AF8" w:rsidRPr="003B1CC5" w:rsidRDefault="00496AF8" w:rsidP="0000281D">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0281D">
            <w:rPr>
              <w:rStyle w:val="Style1"/>
            </w:rPr>
            <w:t xml:space="preserve"> </w:t>
          </w:r>
          <w:r w:rsidR="0000281D">
            <w:t xml:space="preserve"> </w:t>
          </w:r>
          <w:r w:rsidR="0000281D">
            <w:rPr>
              <w:b/>
              <w:bCs/>
              <w:sz w:val="23"/>
              <w:szCs w:val="23"/>
            </w:rPr>
            <w:t>PointRight® Pro Long Stay</w:t>
          </w:r>
          <w:r w:rsidR="0000281D" w:rsidRPr="0000281D">
            <w:rPr>
              <w:b/>
              <w:bCs/>
              <w:sz w:val="16"/>
              <w:szCs w:val="16"/>
              <w:vertAlign w:val="superscript"/>
            </w:rPr>
            <w:t>TM</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4E3696">
            <w:rPr>
              <w:rStyle w:val="Style1"/>
            </w:rPr>
            <w:t>N/A</w:t>
          </w:r>
        </w:sdtContent>
      </w:sdt>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7-12T00:00:00Z">
            <w:dateFormat w:val="M/d/yyyy"/>
            <w:lid w:val="en-US"/>
            <w:storeMappedDataAs w:val="dateTime"/>
            <w:calendar w:val="gregorian"/>
          </w:date>
        </w:sdtPr>
        <w:sdtEndPr>
          <w:rPr>
            <w:rStyle w:val="DefaultParagraphFont"/>
            <w:noProof/>
            <w:color w:val="auto"/>
            <w:u w:val="none"/>
          </w:rPr>
        </w:sdtEndPr>
        <w:sdtContent>
          <w:r w:rsidR="00BA39E5">
            <w:rPr>
              <w:rStyle w:val="Style2"/>
            </w:rPr>
            <w:t>7/12/2016</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w:t>
            </w:r>
            <w:bookmarkStart w:id="0" w:name="_GoBack"/>
            <w:bookmarkEnd w:id="0"/>
            <w:r w:rsidRPr="003B1CC5">
              <w:rPr>
                <w:i/>
                <w:sz w:val="22"/>
                <w:szCs w:val="22"/>
              </w:rPr>
              <w:t>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8"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9"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0"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1"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2"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3"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lastRenderedPageBreak/>
        <w:t>O</w:t>
      </w:r>
      <w:r w:rsidR="00496AF8" w:rsidRPr="003B1CC5">
        <w:rPr>
          <w:rFonts w:cs="Calibri"/>
          <w:bCs/>
        </w:rPr>
        <w:t>utcome</w:t>
      </w:r>
    </w:p>
    <w:p w:rsidR="00496AF8" w:rsidRPr="003B1CC5" w:rsidRDefault="00BA39E5" w:rsidP="005857F8">
      <w:pPr>
        <w:ind w:left="720" w:hanging="432"/>
        <w:rPr>
          <w:rStyle w:val="Style2"/>
          <w:rFonts w:cstheme="minorHAnsi"/>
        </w:rPr>
      </w:pPr>
      <w:sdt>
        <w:sdtPr>
          <w:rPr>
            <w:bCs/>
            <w:color w:val="0000FF"/>
            <w:u w:val="single"/>
          </w:rPr>
          <w:id w:val="1077707841"/>
          <w14:checkbox>
            <w14:checked w14:val="1"/>
            <w14:checkedState w14:val="2612" w14:font="Arial Unicode MS"/>
            <w14:uncheckedState w14:val="2610" w14:font="Arial Unicode MS"/>
          </w14:checkbox>
        </w:sdtPr>
        <w:sdtEndPr/>
        <w:sdtContent>
          <w:r w:rsidR="00B80AAC">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dtPr>
        <w:sdtEndPr>
          <w:rPr>
            <w:rStyle w:val="DefaultParagraphFont"/>
            <w:rFonts w:cstheme="minorBidi"/>
            <w:color w:val="auto"/>
            <w:u w:val="none"/>
          </w:rPr>
        </w:sdtEndPr>
        <w:sdtContent>
          <w:r w:rsidR="002A76C2">
            <w:rPr>
              <w:rStyle w:val="Style2"/>
              <w:rFonts w:cstheme="minorHAnsi"/>
            </w:rPr>
            <w:t xml:space="preserve">Long Stay Hospitalizations </w:t>
          </w:r>
        </w:sdtContent>
      </w:sdt>
    </w:p>
    <w:p w:rsidR="00236F87" w:rsidRPr="003B1CC5" w:rsidRDefault="00BA39E5" w:rsidP="005857F8">
      <w:pPr>
        <w:ind w:left="720" w:hanging="432"/>
        <w:rPr>
          <w:b/>
          <w:bCs/>
        </w:rPr>
      </w:pPr>
      <w:sdt>
        <w:sdtPr>
          <w:rPr>
            <w:bCs/>
            <w:color w:val="0000FF"/>
          </w:rPr>
          <w:id w:val="-1541041819"/>
          <w14:checkbox>
            <w14:checked w14:val="0"/>
            <w14:checkedState w14:val="2612" w14:font="Arial Unicode MS"/>
            <w14:uncheckedState w14:val="2610" w14:font="Arial Unicode MS"/>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BA39E5" w:rsidP="005857F8">
      <w:pPr>
        <w:ind w:left="720" w:hanging="432"/>
        <w:rPr>
          <w:bCs/>
        </w:rPr>
      </w:pPr>
      <w:sdt>
        <w:sdtPr>
          <w:rPr>
            <w:bCs/>
            <w:color w:val="0000FF"/>
          </w:rPr>
          <w:id w:val="1309518776"/>
          <w14:checkbox>
            <w14:checked w14:val="0"/>
            <w14:checkedState w14:val="2612" w14:font="Arial Unicode MS"/>
            <w14:uncheckedState w14:val="2610" w14:font="Arial Unicode MS"/>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BA39E5" w:rsidP="00015986">
      <w:pPr>
        <w:ind w:left="432" w:hanging="432"/>
        <w:rPr>
          <w:bCs/>
        </w:rPr>
      </w:pPr>
      <w:sdt>
        <w:sdtPr>
          <w:rPr>
            <w:bCs/>
            <w:color w:val="0000FF"/>
          </w:rPr>
          <w:id w:val="-1535727686"/>
          <w14:checkbox>
            <w14:checked w14:val="0"/>
            <w14:checkedState w14:val="2612" w14:font="Arial Unicode MS"/>
            <w14:uncheckedState w14:val="2610" w14:font="Arial Unicode MS"/>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BA39E5" w:rsidP="00015986">
      <w:pPr>
        <w:ind w:left="432" w:hanging="432"/>
        <w:rPr>
          <w:bCs/>
        </w:rPr>
      </w:pPr>
      <w:sdt>
        <w:sdtPr>
          <w:rPr>
            <w:bCs/>
            <w:color w:val="0000FF"/>
          </w:rPr>
          <w:id w:val="1676770628"/>
          <w14:checkbox>
            <w14:checked w14:val="0"/>
            <w14:checkedState w14:val="2612" w14:font="Arial Unicode MS"/>
            <w14:uncheckedState w14:val="2610" w14:font="Arial Unicode MS"/>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BA39E5" w:rsidP="00015986">
      <w:pPr>
        <w:ind w:left="432" w:hanging="432"/>
        <w:rPr>
          <w:bCs/>
        </w:rPr>
      </w:pPr>
      <w:sdt>
        <w:sdtPr>
          <w:rPr>
            <w:bCs/>
            <w:color w:val="0000FF"/>
          </w:rPr>
          <w:id w:val="1719405626"/>
          <w14:checkbox>
            <w14:checked w14:val="0"/>
            <w14:checkedState w14:val="2612" w14:font="Arial Unicode MS"/>
            <w14:uncheckedState w14:val="2610" w14:font="Arial Unicode MS"/>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936D8A" w:rsidRDefault="00496AF8" w:rsidP="002E2177">
      <w:pPr>
        <w:ind w:left="0" w:firstLine="0"/>
        <w:rPr>
          <w:bCs/>
          <w:i/>
        </w:rPr>
      </w:pPr>
      <w:r w:rsidRPr="00936D8A">
        <w:rPr>
          <w:b/>
          <w:bCs/>
        </w:rPr>
        <w:t>HEALTH OUTCOME</w:t>
      </w:r>
      <w:r w:rsidR="00236F87" w:rsidRPr="00936D8A">
        <w:rPr>
          <w:b/>
          <w:bCs/>
        </w:rPr>
        <w:t>/PRO</w:t>
      </w:r>
      <w:r w:rsidRPr="00936D8A">
        <w:rPr>
          <w:b/>
          <w:bCs/>
        </w:rPr>
        <w:t xml:space="preserve"> </w:t>
      </w:r>
      <w:r w:rsidR="005857F8" w:rsidRPr="00936D8A">
        <w:rPr>
          <w:b/>
          <w:bCs/>
        </w:rPr>
        <w:t xml:space="preserve">PERFORMANCE </w:t>
      </w:r>
      <w:r w:rsidRPr="00936D8A">
        <w:rPr>
          <w:b/>
          <w:bCs/>
        </w:rPr>
        <w:t>MEASURE</w:t>
      </w:r>
      <w:r w:rsidRPr="00936D8A">
        <w:rPr>
          <w:bCs/>
        </w:rPr>
        <w:t xml:space="preserve"> </w:t>
      </w:r>
      <w:r w:rsidRPr="00936D8A">
        <w:rPr>
          <w:bCs/>
          <w:i/>
        </w:rPr>
        <w:t xml:space="preserve">If not </w:t>
      </w:r>
      <w:r w:rsidR="00132070" w:rsidRPr="00936D8A">
        <w:rPr>
          <w:bCs/>
          <w:i/>
        </w:rPr>
        <w:t>a health outcome</w:t>
      </w:r>
      <w:r w:rsidR="00AC1E53" w:rsidRPr="00936D8A">
        <w:rPr>
          <w:bCs/>
          <w:i/>
        </w:rPr>
        <w:t xml:space="preserve"> or PRO</w:t>
      </w:r>
      <w:r w:rsidR="00132070" w:rsidRPr="00936D8A">
        <w:rPr>
          <w:bCs/>
          <w:i/>
        </w:rPr>
        <w:t xml:space="preserve">, skip to </w:t>
      </w:r>
      <w:hyperlink w:anchor="Section1a3" w:history="1">
        <w:r w:rsidR="00132070" w:rsidRPr="00936D8A">
          <w:rPr>
            <w:rStyle w:val="Hyperlink"/>
            <w:bCs/>
            <w:i/>
          </w:rPr>
          <w:t>1</w:t>
        </w:r>
        <w:r w:rsidR="00837121" w:rsidRPr="00936D8A">
          <w:rPr>
            <w:rStyle w:val="Hyperlink"/>
            <w:bCs/>
            <w:i/>
          </w:rPr>
          <w:t>a</w:t>
        </w:r>
        <w:r w:rsidR="00132070" w:rsidRPr="00936D8A">
          <w:rPr>
            <w:rStyle w:val="Hyperlink"/>
            <w:bCs/>
            <w:i/>
          </w:rPr>
          <w:t>.3</w:t>
        </w:r>
      </w:hyperlink>
    </w:p>
    <w:p w:rsidR="002B06BD" w:rsidRDefault="002B06BD" w:rsidP="002B06BD">
      <w:pPr>
        <w:ind w:left="432" w:hanging="432"/>
        <w:rPr>
          <w:b/>
          <w:iCs/>
        </w:rPr>
      </w:pPr>
      <w:r w:rsidRPr="00936D8A">
        <w:rPr>
          <w:b/>
          <w:bCs/>
          <w:color w:val="0000FF"/>
        </w:rPr>
        <w:t>1a.2.</w:t>
      </w:r>
      <w:r w:rsidRPr="00936D8A">
        <w:rPr>
          <w:bCs/>
        </w:rPr>
        <w:t xml:space="preserve"> </w:t>
      </w:r>
      <w:r w:rsidRPr="00936D8A">
        <w:rPr>
          <w:b/>
          <w:iCs/>
        </w:rPr>
        <w:t xml:space="preserve">Briefly state or diagram the </w:t>
      </w:r>
      <w:r w:rsidR="00236F87" w:rsidRPr="00936D8A">
        <w:rPr>
          <w:b/>
          <w:iCs/>
        </w:rPr>
        <w:t xml:space="preserve">path </w:t>
      </w:r>
      <w:r w:rsidRPr="00936D8A">
        <w:rPr>
          <w:b/>
          <w:iCs/>
        </w:rPr>
        <w:t xml:space="preserve">between the health outcome </w:t>
      </w:r>
      <w:r w:rsidR="00AA5587" w:rsidRPr="00936D8A">
        <w:rPr>
          <w:b/>
          <w:iCs/>
        </w:rPr>
        <w:t>(</w:t>
      </w:r>
      <w:r w:rsidRPr="00936D8A">
        <w:rPr>
          <w:b/>
          <w:iCs/>
        </w:rPr>
        <w:t>or PRO</w:t>
      </w:r>
      <w:r w:rsidR="00AA5587" w:rsidRPr="00936D8A">
        <w:rPr>
          <w:b/>
          <w:iCs/>
        </w:rPr>
        <w:t>)</w:t>
      </w:r>
      <w:r w:rsidRPr="00936D8A">
        <w:rPr>
          <w:b/>
          <w:iCs/>
        </w:rPr>
        <w:t xml:space="preserve"> and </w:t>
      </w:r>
      <w:r w:rsidR="00CB06C9" w:rsidRPr="00936D8A">
        <w:rPr>
          <w:b/>
          <w:iCs/>
        </w:rPr>
        <w:t>the</w:t>
      </w:r>
      <w:r w:rsidRPr="00936D8A">
        <w:rPr>
          <w:b/>
          <w:iCs/>
        </w:rPr>
        <w:t xml:space="preserve"> healthcare structure</w:t>
      </w:r>
      <w:r w:rsidR="00CB06C9" w:rsidRPr="00936D8A">
        <w:rPr>
          <w:b/>
          <w:iCs/>
        </w:rPr>
        <w:t>s</w:t>
      </w:r>
      <w:r w:rsidRPr="00936D8A">
        <w:rPr>
          <w:b/>
          <w:iCs/>
        </w:rPr>
        <w:t>, process</w:t>
      </w:r>
      <w:r w:rsidR="00CB06C9" w:rsidRPr="00936D8A">
        <w:rPr>
          <w:b/>
          <w:iCs/>
        </w:rPr>
        <w:t>es</w:t>
      </w:r>
      <w:r w:rsidRPr="00936D8A">
        <w:rPr>
          <w:b/>
          <w:iCs/>
        </w:rPr>
        <w:t>, intervention</w:t>
      </w:r>
      <w:r w:rsidR="00CB06C9" w:rsidRPr="00936D8A">
        <w:rPr>
          <w:b/>
          <w:iCs/>
        </w:rPr>
        <w:t>s</w:t>
      </w:r>
      <w:r w:rsidRPr="00936D8A">
        <w:rPr>
          <w:b/>
          <w:iCs/>
        </w:rPr>
        <w:t>, or service</w:t>
      </w:r>
      <w:r w:rsidR="00CB06C9" w:rsidRPr="00936D8A">
        <w:rPr>
          <w:b/>
          <w:iCs/>
        </w:rPr>
        <w:t>s that influence it</w:t>
      </w:r>
      <w:r w:rsidR="00024526" w:rsidRPr="00936D8A">
        <w:rPr>
          <w:b/>
          <w:iCs/>
        </w:rPr>
        <w:t>.</w:t>
      </w:r>
    </w:p>
    <w:p w:rsidR="003743D6" w:rsidRPr="00365C41" w:rsidRDefault="003743D6" w:rsidP="003743D6">
      <w:pPr>
        <w:ind w:left="0" w:firstLine="0"/>
        <w:rPr>
          <w:color w:val="1F497D" w:themeColor="text2"/>
        </w:rPr>
      </w:pPr>
      <w:r w:rsidRPr="00365C41">
        <w:rPr>
          <w:color w:val="1F497D" w:themeColor="text2"/>
        </w:rPr>
        <w:t xml:space="preserve">Hospitalizations of any cause among individuals admitted to a skilled nursing facility (SNF) </w:t>
      </w:r>
      <w:r w:rsidR="004E3696" w:rsidRPr="00365C41">
        <w:rPr>
          <w:color w:val="1F497D" w:themeColor="text2"/>
        </w:rPr>
        <w:t>are</w:t>
      </w:r>
      <w:r w:rsidRPr="00365C41">
        <w:rPr>
          <w:color w:val="1F497D" w:themeColor="text2"/>
        </w:rPr>
        <w:t xml:space="preserve"> the result of numerous clinical and non-clinical situations (Ouslander, 2012).  However, a combination of structure, process and interventions influence the likelihood of hospitalizations more than patient acuity and condition. </w:t>
      </w:r>
      <w:r w:rsidR="004E3696" w:rsidRPr="00365C41">
        <w:rPr>
          <w:color w:val="1F497D" w:themeColor="text2"/>
        </w:rPr>
        <w:t>Structural</w:t>
      </w:r>
      <w:r w:rsidRPr="00365C41">
        <w:rPr>
          <w:color w:val="1F497D" w:themeColor="text2"/>
        </w:rPr>
        <w:t xml:space="preserve"> interventions such as high staffing levels and nurse practitioner availability and processes interventions such as early detection of signs and symptoms of impending infections (pneumonia, UTI, etc.) and chronic disease exacerbation (e.g. CHF, DM, etc.) can all work to decrease the incidence of hospitalizations (Ouslander, 2012; Young et al., 2011). The diagram below provides an overview of the structures and processes that can ultimat</w:t>
      </w:r>
      <w:r w:rsidR="004E3696" w:rsidRPr="00365C41">
        <w:rPr>
          <w:color w:val="1F497D" w:themeColor="text2"/>
        </w:rPr>
        <w:t xml:space="preserve">ely influence hospitalizations in long term care residents. </w:t>
      </w:r>
    </w:p>
    <w:p w:rsidR="003743D6" w:rsidRDefault="003743D6" w:rsidP="003743D6">
      <w:pPr>
        <w:ind w:left="0" w:firstLine="0"/>
        <w:rPr>
          <w:color w:val="1F497D" w:themeColor="text2"/>
        </w:rPr>
      </w:pPr>
    </w:p>
    <w:p w:rsidR="003743D6" w:rsidRDefault="003743D6" w:rsidP="003743D6">
      <w:pPr>
        <w:ind w:left="0" w:firstLine="0"/>
        <w:rPr>
          <w:color w:val="1F497D" w:themeColor="text2"/>
        </w:rPr>
      </w:pPr>
    </w:p>
    <w:p w:rsidR="003743D6" w:rsidRPr="00936D8A" w:rsidRDefault="003743D6" w:rsidP="002B06BD">
      <w:pPr>
        <w:ind w:left="432" w:hanging="432"/>
        <w:rPr>
          <w:b/>
          <w:iCs/>
        </w:rPr>
      </w:pPr>
    </w:p>
    <w:p w:rsidR="00936D8A" w:rsidRDefault="00936D8A" w:rsidP="002B06BD">
      <w:pPr>
        <w:ind w:left="432" w:hanging="432"/>
        <w:rPr>
          <w:b/>
          <w:iCs/>
          <w:highlight w:val="yellow"/>
        </w:rPr>
      </w:pPr>
    </w:p>
    <w:p w:rsidR="00936D8A" w:rsidRDefault="00936D8A" w:rsidP="002B06BD">
      <w:pPr>
        <w:ind w:left="432" w:hanging="432"/>
        <w:rPr>
          <w:b/>
          <w:iCs/>
          <w:highlight w:val="yellow"/>
        </w:rPr>
      </w:pPr>
      <w:r>
        <w:rPr>
          <w:noProof/>
        </w:rPr>
        <w:lastRenderedPageBreak/>
        <w:drawing>
          <wp:inline distT="0" distB="0" distL="0" distR="0" wp14:anchorId="124A85F5" wp14:editId="0C5AB14A">
            <wp:extent cx="6305550" cy="5414645"/>
            <wp:effectExtent l="0" t="0" r="0" b="1460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0E495B" w:rsidRDefault="000E495B" w:rsidP="002B06BD">
      <w:pPr>
        <w:ind w:left="432" w:hanging="432"/>
        <w:rPr>
          <w:iCs/>
          <w:highlight w:val="yellow"/>
        </w:rPr>
      </w:pPr>
    </w:p>
    <w:p w:rsidR="00496AF8" w:rsidRPr="003B1CC5" w:rsidRDefault="00B058A6" w:rsidP="002E2177">
      <w:pPr>
        <w:ind w:left="432" w:hanging="432"/>
        <w:rPr>
          <w:iCs/>
        </w:rPr>
      </w:pPr>
      <w:r w:rsidRPr="00AC787B">
        <w:rPr>
          <w:b/>
          <w:color w:val="0000FF"/>
        </w:rPr>
        <w:t>1</w:t>
      </w:r>
      <w:r w:rsidR="00773485" w:rsidRPr="00AC787B">
        <w:rPr>
          <w:b/>
          <w:color w:val="0000FF"/>
        </w:rPr>
        <w:t>a</w:t>
      </w:r>
      <w:r w:rsidRPr="00AC787B">
        <w:rPr>
          <w:b/>
          <w:color w:val="0000FF"/>
        </w:rPr>
        <w:t>.2</w:t>
      </w:r>
      <w:r w:rsidR="00496AF8" w:rsidRPr="00AC787B">
        <w:rPr>
          <w:b/>
          <w:color w:val="0000FF"/>
        </w:rPr>
        <w:t>.</w:t>
      </w:r>
      <w:r w:rsidR="00E41417" w:rsidRPr="00AC787B">
        <w:rPr>
          <w:b/>
          <w:color w:val="0000FF"/>
        </w:rPr>
        <w:t>1.</w:t>
      </w:r>
      <w:r w:rsidR="00E41417" w:rsidRPr="00AC787B">
        <w:rPr>
          <w:iCs/>
        </w:rPr>
        <w:t xml:space="preserve"> </w:t>
      </w:r>
      <w:r w:rsidR="00496AF8" w:rsidRPr="00AC787B">
        <w:rPr>
          <w:b/>
          <w:iCs/>
        </w:rPr>
        <w:t xml:space="preserve">State the rationale </w:t>
      </w:r>
      <w:r w:rsidR="001D5B5D" w:rsidRPr="00AC787B">
        <w:rPr>
          <w:b/>
          <w:iCs/>
        </w:rPr>
        <w:t xml:space="preserve">supporting </w:t>
      </w:r>
      <w:r w:rsidR="008B51D9" w:rsidRPr="00AC787B">
        <w:rPr>
          <w:b/>
          <w:iCs/>
        </w:rPr>
        <w:t xml:space="preserve">the </w:t>
      </w:r>
      <w:r w:rsidR="005D25E9" w:rsidRPr="00AC787B">
        <w:rPr>
          <w:b/>
          <w:iCs/>
        </w:rPr>
        <w:t xml:space="preserve">relationship </w:t>
      </w:r>
      <w:r w:rsidR="00AC1E53" w:rsidRPr="00AC787B">
        <w:rPr>
          <w:b/>
          <w:iCs/>
        </w:rPr>
        <w:t>between</w:t>
      </w:r>
      <w:r w:rsidR="005D25E9" w:rsidRPr="00AC787B">
        <w:rPr>
          <w:b/>
          <w:iCs/>
        </w:rPr>
        <w:t xml:space="preserve"> the </w:t>
      </w:r>
      <w:r w:rsidR="008B51D9" w:rsidRPr="00AC787B">
        <w:rPr>
          <w:b/>
          <w:iCs/>
        </w:rPr>
        <w:t>health outcome</w:t>
      </w:r>
      <w:r w:rsidR="005857F8" w:rsidRPr="00AC787B">
        <w:rPr>
          <w:b/>
          <w:iCs/>
        </w:rPr>
        <w:t xml:space="preserve"> </w:t>
      </w:r>
      <w:r w:rsidR="00AA5587" w:rsidRPr="00AC787B">
        <w:rPr>
          <w:b/>
          <w:iCs/>
        </w:rPr>
        <w:t>(</w:t>
      </w:r>
      <w:r w:rsidR="005857F8" w:rsidRPr="00AC787B">
        <w:rPr>
          <w:b/>
          <w:iCs/>
        </w:rPr>
        <w:t>or PRO</w:t>
      </w:r>
      <w:r w:rsidR="00AA5587" w:rsidRPr="00AC787B">
        <w:rPr>
          <w:b/>
          <w:iCs/>
        </w:rPr>
        <w:t>)</w:t>
      </w:r>
      <w:r w:rsidR="008B51D9" w:rsidRPr="00AC787B">
        <w:rPr>
          <w:b/>
          <w:iCs/>
        </w:rPr>
        <w:t xml:space="preserve"> </w:t>
      </w:r>
      <w:r w:rsidR="005D25E9" w:rsidRPr="00AC787B">
        <w:rPr>
          <w:b/>
          <w:iCs/>
        </w:rPr>
        <w:t>to</w:t>
      </w:r>
      <w:r w:rsidR="00236F87" w:rsidRPr="00AC787B">
        <w:rPr>
          <w:b/>
          <w:iCs/>
        </w:rPr>
        <w:t xml:space="preserve"> </w:t>
      </w:r>
      <w:r w:rsidR="00496AF8" w:rsidRPr="00AC787B">
        <w:rPr>
          <w:b/>
          <w:iCs/>
        </w:rPr>
        <w:t>at least one</w:t>
      </w:r>
      <w:r w:rsidR="009B5BEA" w:rsidRPr="00AC787B">
        <w:rPr>
          <w:b/>
          <w:iCs/>
        </w:rPr>
        <w:t xml:space="preserve"> </w:t>
      </w:r>
      <w:r w:rsidR="00496AF8" w:rsidRPr="00AC787B">
        <w:rPr>
          <w:b/>
          <w:iCs/>
        </w:rPr>
        <w:t>healthcare structure, process, intervention, or service</w:t>
      </w:r>
      <w:r w:rsidR="00AC1E53" w:rsidRPr="00AC787B">
        <w:rPr>
          <w:b/>
          <w:iCs/>
        </w:rPr>
        <w:t xml:space="preserve"> (</w:t>
      </w:r>
      <w:r w:rsidR="00AC1E53" w:rsidRPr="00AC787B">
        <w:rPr>
          <w:b/>
          <w:i/>
          <w:iCs/>
        </w:rPr>
        <w:t>i.e., influence on outcome/PRO</w:t>
      </w:r>
      <w:r w:rsidR="00AC1E53" w:rsidRPr="00AC787B">
        <w:rPr>
          <w:b/>
          <w:iCs/>
        </w:rPr>
        <w:t>)</w:t>
      </w:r>
      <w:r w:rsidR="005D25E9" w:rsidRPr="00AC787B">
        <w:rPr>
          <w:b/>
          <w:iCs/>
        </w:rPr>
        <w:t>.</w:t>
      </w:r>
    </w:p>
    <w:p w:rsidR="00A77F12" w:rsidRPr="00E309C9" w:rsidRDefault="00B80AAC" w:rsidP="00365C41">
      <w:pPr>
        <w:ind w:left="0" w:firstLine="0"/>
        <w:rPr>
          <w:iCs/>
          <w:color w:val="1F497D" w:themeColor="text2"/>
        </w:rPr>
      </w:pPr>
      <w:r w:rsidRPr="00365C41">
        <w:rPr>
          <w:iCs/>
          <w:color w:val="1F497D" w:themeColor="text2"/>
        </w:rPr>
        <w:t>Quality of life and quality of care are two areas that past research initiatives have utiliz</w:t>
      </w:r>
      <w:r w:rsidR="00F8471A" w:rsidRPr="00365C41">
        <w:rPr>
          <w:iCs/>
          <w:color w:val="1F497D" w:themeColor="text2"/>
        </w:rPr>
        <w:t xml:space="preserve">ed to measure quality. </w:t>
      </w:r>
      <w:r w:rsidR="00F8471A" w:rsidRPr="00E309C9">
        <w:rPr>
          <w:iCs/>
          <w:color w:val="1F497D" w:themeColor="text2"/>
        </w:rPr>
        <w:t xml:space="preserve">Quality of </w:t>
      </w:r>
      <w:r w:rsidR="00D54A50" w:rsidRPr="00E309C9">
        <w:rPr>
          <w:iCs/>
          <w:color w:val="1F497D" w:themeColor="text2"/>
        </w:rPr>
        <w:t>life</w:t>
      </w:r>
      <w:r w:rsidR="00F8471A" w:rsidRPr="00E309C9">
        <w:rPr>
          <w:iCs/>
          <w:color w:val="1F497D" w:themeColor="text2"/>
        </w:rPr>
        <w:t xml:space="preserve"> focuses on issues surrounding the resident’s autonomy while quality of care examines the technical aspects of health care that affect the resident’s quality of health outcomes such as pressure ulcer prevalence (Spilsbury et al., 2011). </w:t>
      </w:r>
      <w:r w:rsidR="00A84FD4" w:rsidRPr="00E309C9">
        <w:rPr>
          <w:iCs/>
          <w:color w:val="1F497D" w:themeColor="text2"/>
        </w:rPr>
        <w:t xml:space="preserve">Previous evidence supports the theory that quality measures are beneficial to determine the rate of hospitalization among long-stay residents. Facilities that do not </w:t>
      </w:r>
      <w:r w:rsidR="00365C41" w:rsidRPr="00E309C9">
        <w:rPr>
          <w:iCs/>
          <w:color w:val="1F497D" w:themeColor="text2"/>
        </w:rPr>
        <w:t>have a high</w:t>
      </w:r>
      <w:r w:rsidR="00A84FD4" w:rsidRPr="00E309C9">
        <w:rPr>
          <w:iCs/>
          <w:color w:val="1F497D" w:themeColor="text2"/>
        </w:rPr>
        <w:t xml:space="preserve"> standard</w:t>
      </w:r>
      <w:r w:rsidR="00365C41" w:rsidRPr="00E309C9">
        <w:rPr>
          <w:iCs/>
          <w:color w:val="1F497D" w:themeColor="text2"/>
        </w:rPr>
        <w:t xml:space="preserve"> on their</w:t>
      </w:r>
      <w:r w:rsidR="00A84FD4" w:rsidRPr="00E309C9">
        <w:rPr>
          <w:iCs/>
          <w:color w:val="1F497D" w:themeColor="text2"/>
        </w:rPr>
        <w:t xml:space="preserve"> quality measures are more likely to have higher rates of hospitalization among long-stay residents. </w:t>
      </w:r>
      <w:r w:rsidR="00CE0235" w:rsidRPr="00E309C9">
        <w:rPr>
          <w:iCs/>
          <w:color w:val="1F497D" w:themeColor="text2"/>
        </w:rPr>
        <w:t xml:space="preserve">The evidence presented below contains past findings that describe the </w:t>
      </w:r>
      <w:r w:rsidR="004951B1">
        <w:rPr>
          <w:iCs/>
          <w:color w:val="1F497D" w:themeColor="text2"/>
        </w:rPr>
        <w:t>causal</w:t>
      </w:r>
      <w:r w:rsidR="00CE0235" w:rsidRPr="00E309C9">
        <w:rPr>
          <w:iCs/>
          <w:color w:val="1F497D" w:themeColor="text2"/>
        </w:rPr>
        <w:t xml:space="preserve"> relationship between clinical outcomes and quality</w:t>
      </w:r>
      <w:r w:rsidR="00A84FD4" w:rsidRPr="00E309C9">
        <w:rPr>
          <w:iCs/>
          <w:color w:val="1F497D" w:themeColor="text2"/>
        </w:rPr>
        <w:t xml:space="preserve"> measures</w:t>
      </w:r>
      <w:r w:rsidR="00CE0235" w:rsidRPr="00E309C9">
        <w:rPr>
          <w:iCs/>
          <w:color w:val="1F497D" w:themeColor="text2"/>
        </w:rPr>
        <w:t xml:space="preserve"> among l</w:t>
      </w:r>
      <w:r w:rsidR="00365C41" w:rsidRPr="00E309C9">
        <w:rPr>
          <w:iCs/>
          <w:color w:val="1F497D" w:themeColor="text2"/>
        </w:rPr>
        <w:t xml:space="preserve">ong-stay nursing home residents and the ultimate influence on long-stay resident hospitalizations. </w:t>
      </w:r>
    </w:p>
    <w:p w:rsidR="00365C41" w:rsidRPr="00E309C9" w:rsidRDefault="00365C41" w:rsidP="00365C41">
      <w:pPr>
        <w:ind w:left="0" w:firstLine="0"/>
        <w:rPr>
          <w:iCs/>
          <w:color w:val="1F497D" w:themeColor="text2"/>
        </w:rPr>
      </w:pPr>
    </w:p>
    <w:p w:rsidR="009E2813" w:rsidRPr="00E309C9" w:rsidRDefault="009E2813" w:rsidP="009E2813">
      <w:pPr>
        <w:ind w:left="0" w:firstLine="0"/>
        <w:rPr>
          <w:iCs/>
          <w:color w:val="1F497D" w:themeColor="text2"/>
        </w:rPr>
      </w:pPr>
    </w:p>
    <w:p w:rsidR="00AC787B" w:rsidRPr="003F3AD0" w:rsidRDefault="00AC787B" w:rsidP="00365C41">
      <w:pPr>
        <w:ind w:left="0" w:firstLine="0"/>
        <w:rPr>
          <w:b/>
          <w:iCs/>
          <w:color w:val="1F497D" w:themeColor="text2"/>
        </w:rPr>
      </w:pPr>
      <w:r w:rsidRPr="00E309C9">
        <w:rPr>
          <w:b/>
          <w:iCs/>
          <w:color w:val="1F497D" w:themeColor="text2"/>
        </w:rPr>
        <w:t xml:space="preserve">Improving Staffing </w:t>
      </w:r>
      <w:r w:rsidR="003F3AD0">
        <w:rPr>
          <w:b/>
          <w:iCs/>
          <w:color w:val="1F497D" w:themeColor="text2"/>
        </w:rPr>
        <w:br/>
      </w:r>
      <w:r w:rsidRPr="00E309C9">
        <w:rPr>
          <w:iCs/>
          <w:color w:val="1F497D" w:themeColor="text2"/>
        </w:rPr>
        <w:t>Staffing levels within skilled nursing facilities ha</w:t>
      </w:r>
      <w:r w:rsidR="00C131DA">
        <w:rPr>
          <w:iCs/>
          <w:color w:val="1F497D" w:themeColor="text2"/>
        </w:rPr>
        <w:t>ve</w:t>
      </w:r>
      <w:r w:rsidRPr="00E309C9">
        <w:rPr>
          <w:iCs/>
          <w:color w:val="1F497D" w:themeColor="text2"/>
        </w:rPr>
        <w:t xml:space="preserve"> the ability to affect residents’ quality of care and </w:t>
      </w:r>
      <w:r w:rsidRPr="00E309C9">
        <w:rPr>
          <w:iCs/>
          <w:color w:val="1F497D" w:themeColor="text2"/>
        </w:rPr>
        <w:lastRenderedPageBreak/>
        <w:t>quality of life.  M</w:t>
      </w:r>
      <w:r w:rsidR="002612D2" w:rsidRPr="00E309C9">
        <w:rPr>
          <w:iCs/>
          <w:color w:val="1F497D" w:themeColor="text2"/>
        </w:rPr>
        <w:t>easures such as staffing ratios and</w:t>
      </w:r>
      <w:r w:rsidRPr="00E309C9">
        <w:rPr>
          <w:iCs/>
          <w:color w:val="1F497D" w:themeColor="text2"/>
        </w:rPr>
        <w:t xml:space="preserve"> licensed nursing staff availability have </w:t>
      </w:r>
      <w:r w:rsidR="002612D2" w:rsidRPr="00E309C9">
        <w:rPr>
          <w:iCs/>
          <w:color w:val="1F497D" w:themeColor="text2"/>
        </w:rPr>
        <w:t xml:space="preserve">previously </w:t>
      </w:r>
      <w:r w:rsidRPr="00E309C9">
        <w:rPr>
          <w:iCs/>
          <w:color w:val="1F497D" w:themeColor="text2"/>
        </w:rPr>
        <w:t>been determine</w:t>
      </w:r>
      <w:r w:rsidR="00C131DA">
        <w:rPr>
          <w:iCs/>
          <w:color w:val="1F497D" w:themeColor="text2"/>
        </w:rPr>
        <w:t>d</w:t>
      </w:r>
      <w:r w:rsidRPr="00E309C9">
        <w:rPr>
          <w:iCs/>
          <w:color w:val="1F497D" w:themeColor="text2"/>
        </w:rPr>
        <w:t xml:space="preserve"> to have a causal relationship between quality and health outcomes for long-stay residents.. Horn et al. (2005) evaluated staffing levels in rela</w:t>
      </w:r>
      <w:r w:rsidR="002612D2" w:rsidRPr="00E309C9">
        <w:rPr>
          <w:iCs/>
          <w:color w:val="1F497D" w:themeColor="text2"/>
        </w:rPr>
        <w:t>tionship to resident</w:t>
      </w:r>
      <w:r w:rsidRPr="00E309C9">
        <w:rPr>
          <w:iCs/>
          <w:color w:val="1F497D" w:themeColor="text2"/>
        </w:rPr>
        <w:t>s</w:t>
      </w:r>
      <w:r w:rsidR="002612D2" w:rsidRPr="00E309C9">
        <w:rPr>
          <w:iCs/>
          <w:color w:val="1F497D" w:themeColor="text2"/>
        </w:rPr>
        <w:t>’</w:t>
      </w:r>
      <w:r w:rsidRPr="00E309C9">
        <w:rPr>
          <w:iCs/>
          <w:color w:val="1F497D" w:themeColor="text2"/>
        </w:rPr>
        <w:t xml:space="preserve"> health outcomes. Their study provided evidence </w:t>
      </w:r>
      <w:r w:rsidR="002612D2" w:rsidRPr="00E309C9">
        <w:rPr>
          <w:iCs/>
          <w:color w:val="1F497D" w:themeColor="text2"/>
        </w:rPr>
        <w:t xml:space="preserve">that facilities where registered nurses (RN) provided 30 to 40 minutes of care per resident per day had </w:t>
      </w:r>
      <w:r w:rsidRPr="00E309C9">
        <w:rPr>
          <w:iCs/>
          <w:color w:val="1F497D" w:themeColor="text2"/>
        </w:rPr>
        <w:t xml:space="preserve">positive health outcomes. Higher ratios among licensed practical nurses and certified nurses’ aides also provided better health outcomes. Newly admitted residents in the study were less likely to remain in the study (71.2 versus 80.8 days, P&lt;0.001), and </w:t>
      </w:r>
      <w:r w:rsidR="00C131DA">
        <w:rPr>
          <w:iCs/>
          <w:color w:val="1F497D" w:themeColor="text2"/>
        </w:rPr>
        <w:t xml:space="preserve">to </w:t>
      </w:r>
      <w:r w:rsidRPr="00E309C9">
        <w:rPr>
          <w:iCs/>
          <w:color w:val="1F497D" w:themeColor="text2"/>
        </w:rPr>
        <w:t xml:space="preserve">develop pressure ulcers. In addition, </w:t>
      </w:r>
      <w:r w:rsidR="00C131DA">
        <w:rPr>
          <w:iCs/>
          <w:color w:val="1F497D" w:themeColor="text2"/>
        </w:rPr>
        <w:t xml:space="preserve">in centers where </w:t>
      </w:r>
      <w:r w:rsidRPr="00E309C9">
        <w:rPr>
          <w:iCs/>
          <w:color w:val="1F497D" w:themeColor="text2"/>
        </w:rPr>
        <w:t>registered nurses provided 30 to 40 minutes of direct care showed a decreased in adverse outcomes while improvements in care processes increased. In addition, evidence showed a reduction in catheterization, pressure ulcers, and the development of UTI (Horn et al., 2005).  Quality measures for long-stay residents showed improvement when residents received 4.1 hours of direct care per day and 1.35 hours of care from licensed staff per day (Collier &amp; Harrington, 2008).</w:t>
      </w:r>
    </w:p>
    <w:p w:rsidR="0041247C" w:rsidRPr="00E309C9" w:rsidRDefault="0041247C" w:rsidP="00365C41">
      <w:pPr>
        <w:ind w:left="0" w:firstLine="0"/>
        <w:rPr>
          <w:iCs/>
          <w:color w:val="1F497D" w:themeColor="text2"/>
        </w:rPr>
      </w:pPr>
    </w:p>
    <w:p w:rsidR="00AC787B" w:rsidRDefault="00AC787B" w:rsidP="00AC787B">
      <w:pPr>
        <w:ind w:left="0" w:firstLine="0"/>
        <w:rPr>
          <w:iCs/>
          <w:color w:val="1F497D" w:themeColor="text2"/>
        </w:rPr>
      </w:pPr>
      <w:r w:rsidRPr="00E309C9">
        <w:rPr>
          <w:iCs/>
          <w:color w:val="1F497D" w:themeColor="text2"/>
        </w:rPr>
        <w:t>Indicators such as quality of care deficiencies, quality of life deficiencies, in-bed time, and resident satisfaction have also been examined (Spilsbury et al., 2011). The relationship among RNs and residents typically assume a linear relationship where higher staffing numbers provides better quality of care and fewer deficiencies (Spilsbury et al., 2011). Resident outcomes include</w:t>
      </w:r>
      <w:r w:rsidR="00C131DA">
        <w:rPr>
          <w:iCs/>
          <w:color w:val="1F497D" w:themeColor="text2"/>
        </w:rPr>
        <w:t>d</w:t>
      </w:r>
      <w:r w:rsidRPr="00E309C9">
        <w:rPr>
          <w:iCs/>
          <w:color w:val="1F497D" w:themeColor="text2"/>
        </w:rPr>
        <w:t xml:space="preserve"> fewer resident</w:t>
      </w:r>
      <w:r w:rsidR="00E309C9" w:rsidRPr="00E309C9">
        <w:rPr>
          <w:iCs/>
          <w:color w:val="1F497D" w:themeColor="text2"/>
        </w:rPr>
        <w:t xml:space="preserve"> care</w:t>
      </w:r>
      <w:r w:rsidRPr="00E309C9">
        <w:rPr>
          <w:iCs/>
          <w:color w:val="1F497D" w:themeColor="text2"/>
        </w:rPr>
        <w:t xml:space="preserve"> deficiencies within the first year of admission and reduced mortality (Collier &amp; Harrington, 2008). Outcome measures for long-stay residents were measured by a comparison of two MDS assessments (separated by 90 days) which focused on variables such as functional improvement</w:t>
      </w:r>
      <w:r w:rsidR="00E309C9" w:rsidRPr="00E309C9">
        <w:rPr>
          <w:iCs/>
          <w:color w:val="1F497D" w:themeColor="text2"/>
        </w:rPr>
        <w:t xml:space="preserve"> </w:t>
      </w:r>
      <w:r w:rsidRPr="00E309C9">
        <w:rPr>
          <w:iCs/>
          <w:color w:val="1F497D" w:themeColor="text2"/>
        </w:rPr>
        <w:t xml:space="preserve">and weight loss (Collier &amp; </w:t>
      </w:r>
      <w:r w:rsidR="00E309C9" w:rsidRPr="00E309C9">
        <w:rPr>
          <w:iCs/>
          <w:color w:val="1F497D" w:themeColor="text2"/>
        </w:rPr>
        <w:t>Harrington,</w:t>
      </w:r>
      <w:r w:rsidRPr="00E309C9">
        <w:rPr>
          <w:iCs/>
          <w:color w:val="1F497D" w:themeColor="text2"/>
        </w:rPr>
        <w:t xml:space="preserve"> 2008).</w:t>
      </w:r>
    </w:p>
    <w:p w:rsidR="0041247C" w:rsidRPr="00E309C9" w:rsidRDefault="0041247C" w:rsidP="00AC787B">
      <w:pPr>
        <w:ind w:left="0" w:firstLine="0"/>
        <w:rPr>
          <w:iCs/>
          <w:color w:val="1F497D" w:themeColor="text2"/>
        </w:rPr>
      </w:pPr>
    </w:p>
    <w:p w:rsidR="00AC787B" w:rsidRPr="00E309C9" w:rsidRDefault="00AC787B" w:rsidP="00AC787B">
      <w:pPr>
        <w:ind w:left="0" w:firstLine="0"/>
        <w:rPr>
          <w:iCs/>
          <w:color w:val="1F497D" w:themeColor="text2"/>
        </w:rPr>
      </w:pPr>
      <w:r w:rsidRPr="00E309C9">
        <w:rPr>
          <w:iCs/>
          <w:color w:val="1F497D" w:themeColor="text2"/>
        </w:rPr>
        <w:t>Facilities that have an on-site physician report lower hospitalization rates compared to facilities without a physician on</w:t>
      </w:r>
      <w:r w:rsidR="00906291">
        <w:rPr>
          <w:iCs/>
          <w:color w:val="1F497D" w:themeColor="text2"/>
        </w:rPr>
        <w:t>-</w:t>
      </w:r>
      <w:r w:rsidRPr="00E309C9">
        <w:rPr>
          <w:iCs/>
          <w:color w:val="1F497D" w:themeColor="text2"/>
        </w:rPr>
        <w:t xml:space="preserve">site. Young et al. (2011) reported a decrease in hospitalizations where facilities employed on-site physician assistants, nurse practitioners, and a training program for nurses’ aides. </w:t>
      </w:r>
      <w:r w:rsidR="00906291">
        <w:rPr>
          <w:iCs/>
          <w:color w:val="1F497D" w:themeColor="text2"/>
        </w:rPr>
        <w:t>However</w:t>
      </w:r>
      <w:r w:rsidRPr="00E309C9">
        <w:rPr>
          <w:iCs/>
          <w:color w:val="1F497D" w:themeColor="text2"/>
        </w:rPr>
        <w:t>, the majority of facilities do not have an on-site physicians and rely on nursing assessments to observe residents’ health and function-related problems as a strategy for management of care (Young et al., 2011). It is essential to have licensed staff members that can perform a proper assessment on residents’ conditions while determining if a hospital transfer is necessary. Facilities that cannot perform the proper medical assessment and communicate their findings to a physician have a higher risk of hospitalization rates (Young et al., 2011).</w:t>
      </w:r>
    </w:p>
    <w:p w:rsidR="00AC787B" w:rsidRPr="00AC787B" w:rsidRDefault="00AC787B" w:rsidP="009E2813">
      <w:pPr>
        <w:ind w:left="0" w:firstLine="0"/>
        <w:rPr>
          <w:iCs/>
        </w:rPr>
      </w:pPr>
      <w:r>
        <w:rPr>
          <w:iCs/>
        </w:rPr>
        <w:tab/>
      </w:r>
    </w:p>
    <w:p w:rsidR="00AC787B" w:rsidRPr="0041247C" w:rsidRDefault="00AC787B" w:rsidP="009E2813">
      <w:pPr>
        <w:ind w:left="0" w:firstLine="0"/>
        <w:rPr>
          <w:b/>
          <w:iCs/>
          <w:color w:val="1F497D" w:themeColor="text2"/>
        </w:rPr>
      </w:pPr>
      <w:r w:rsidRPr="0041247C">
        <w:rPr>
          <w:b/>
          <w:iCs/>
          <w:color w:val="1F497D" w:themeColor="text2"/>
        </w:rPr>
        <w:t xml:space="preserve">Improving Communication </w:t>
      </w:r>
    </w:p>
    <w:p w:rsidR="00AE6A1B" w:rsidRPr="0041247C" w:rsidRDefault="00AC787B" w:rsidP="0041247C">
      <w:pPr>
        <w:ind w:left="0" w:firstLine="0"/>
        <w:rPr>
          <w:iCs/>
          <w:color w:val="1F497D" w:themeColor="text2"/>
        </w:rPr>
      </w:pPr>
      <w:r w:rsidRPr="0041247C">
        <w:rPr>
          <w:iCs/>
          <w:color w:val="1F497D" w:themeColor="text2"/>
        </w:rPr>
        <w:t>Effective communication between physicians and nursing staff leads to a reduction in hospitalization among long-stay residents. Both physicians and nursing staff must be trained on effective communication to provide better information about a patient’s condition regarding acute conditions and end-of-life care. Effective communication reduces the number of hospitalizations and encourages physicians to treat patients in the nursing home</w:t>
      </w:r>
      <w:r w:rsidR="0041247C" w:rsidRPr="0041247C">
        <w:rPr>
          <w:iCs/>
          <w:color w:val="1F497D" w:themeColor="text2"/>
        </w:rPr>
        <w:t>,</w:t>
      </w:r>
      <w:r w:rsidRPr="0041247C">
        <w:rPr>
          <w:iCs/>
          <w:color w:val="1F497D" w:themeColor="text2"/>
        </w:rPr>
        <w:t xml:space="preserve"> </w:t>
      </w:r>
      <w:r w:rsidR="00906291">
        <w:rPr>
          <w:iCs/>
          <w:color w:val="1F497D" w:themeColor="text2"/>
        </w:rPr>
        <w:t xml:space="preserve">thus </w:t>
      </w:r>
      <w:r w:rsidRPr="0041247C">
        <w:rPr>
          <w:iCs/>
          <w:color w:val="1F497D" w:themeColor="text2"/>
        </w:rPr>
        <w:t>avoid</w:t>
      </w:r>
      <w:r w:rsidR="0041247C" w:rsidRPr="0041247C">
        <w:rPr>
          <w:iCs/>
          <w:color w:val="1F497D" w:themeColor="text2"/>
        </w:rPr>
        <w:t>ing</w:t>
      </w:r>
      <w:r w:rsidRPr="0041247C">
        <w:rPr>
          <w:iCs/>
          <w:color w:val="1F497D" w:themeColor="text2"/>
        </w:rPr>
        <w:t xml:space="preserve"> unnecessary transfers (Young et al., 2011). At the same time, physicians must be provided resources to </w:t>
      </w:r>
      <w:r w:rsidR="00906291">
        <w:rPr>
          <w:iCs/>
          <w:color w:val="1F497D" w:themeColor="text2"/>
        </w:rPr>
        <w:t xml:space="preserve">direct </w:t>
      </w:r>
      <w:r w:rsidRPr="0041247C">
        <w:rPr>
          <w:iCs/>
          <w:color w:val="1F497D" w:themeColor="text2"/>
        </w:rPr>
        <w:t xml:space="preserve"> care </w:t>
      </w:r>
      <w:r w:rsidR="00E309C9" w:rsidRPr="0041247C">
        <w:rPr>
          <w:iCs/>
          <w:color w:val="1F497D" w:themeColor="text2"/>
        </w:rPr>
        <w:t>with</w:t>
      </w:r>
      <w:r w:rsidRPr="0041247C">
        <w:rPr>
          <w:iCs/>
          <w:color w:val="1F497D" w:themeColor="text2"/>
        </w:rPr>
        <w:t xml:space="preserve">in a nursing home such as the patients’ medical history, a lab, and lab results within a four hour timeframe during non-business hours. In addition, nursing staff must be trained </w:t>
      </w:r>
      <w:r w:rsidR="00906291">
        <w:rPr>
          <w:iCs/>
          <w:color w:val="1F497D" w:themeColor="text2"/>
        </w:rPr>
        <w:t>to provide</w:t>
      </w:r>
      <w:r w:rsidRPr="0041247C">
        <w:rPr>
          <w:iCs/>
          <w:color w:val="1F497D" w:themeColor="text2"/>
        </w:rPr>
        <w:t xml:space="preserve"> accurate assessments of a resident’s condition </w:t>
      </w:r>
      <w:r w:rsidR="00E309C9" w:rsidRPr="0041247C">
        <w:rPr>
          <w:iCs/>
          <w:color w:val="1F497D" w:themeColor="text2"/>
        </w:rPr>
        <w:t>so that the physician may</w:t>
      </w:r>
      <w:r w:rsidRPr="0041247C">
        <w:rPr>
          <w:iCs/>
          <w:color w:val="1F497D" w:themeColor="text2"/>
        </w:rPr>
        <w:t xml:space="preserve"> determine if a hospital transfer is necessary</w:t>
      </w:r>
      <w:r w:rsidR="00E309C9" w:rsidRPr="0041247C">
        <w:rPr>
          <w:iCs/>
          <w:color w:val="1F497D" w:themeColor="text2"/>
        </w:rPr>
        <w:t>. P</w:t>
      </w:r>
      <w:r w:rsidRPr="0041247C">
        <w:rPr>
          <w:iCs/>
          <w:color w:val="1F497D" w:themeColor="text2"/>
        </w:rPr>
        <w:t xml:space="preserve">roper protocols must be put in place in order to provide the correct level of care to the resident </w:t>
      </w:r>
      <w:r w:rsidR="00E309C9" w:rsidRPr="0041247C">
        <w:rPr>
          <w:iCs/>
          <w:color w:val="1F497D" w:themeColor="text2"/>
        </w:rPr>
        <w:t>and</w:t>
      </w:r>
      <w:r w:rsidRPr="0041247C">
        <w:rPr>
          <w:iCs/>
          <w:color w:val="1F497D" w:themeColor="text2"/>
        </w:rPr>
        <w:t xml:space="preserve"> avoid hospitalization</w:t>
      </w:r>
      <w:r w:rsidR="00E309C9" w:rsidRPr="0041247C">
        <w:rPr>
          <w:iCs/>
          <w:color w:val="1F497D" w:themeColor="text2"/>
        </w:rPr>
        <w:t>s</w:t>
      </w:r>
      <w:r w:rsidRPr="0041247C">
        <w:rPr>
          <w:iCs/>
          <w:color w:val="1F497D" w:themeColor="text2"/>
        </w:rPr>
        <w:t xml:space="preserve"> (Young et al., 2011).  The protocols for patient transfers must include resources for non-business hours (6 p.m.-6 a.m. and weekends) such as licensed staff on-site</w:t>
      </w:r>
      <w:r w:rsidR="00906291">
        <w:rPr>
          <w:iCs/>
          <w:color w:val="1F497D" w:themeColor="text2"/>
        </w:rPr>
        <w:t>,</w:t>
      </w:r>
      <w:r w:rsidRPr="0041247C">
        <w:rPr>
          <w:iCs/>
          <w:color w:val="1F497D" w:themeColor="text2"/>
        </w:rPr>
        <w:t xml:space="preserve"> in order to avoid improper hospitalization. Saliba et al. (2000) found that inappropriate transfer</w:t>
      </w:r>
      <w:r w:rsidR="00906291">
        <w:rPr>
          <w:iCs/>
          <w:color w:val="1F497D" w:themeColor="text2"/>
        </w:rPr>
        <w:t>s</w:t>
      </w:r>
      <w:r w:rsidRPr="0041247C">
        <w:rPr>
          <w:iCs/>
          <w:color w:val="1F497D" w:themeColor="text2"/>
        </w:rPr>
        <w:t xml:space="preserve"> were more likely to occur during non-business hours because the facilities did not have the proper resources to treat the resident. </w:t>
      </w:r>
    </w:p>
    <w:p w:rsidR="00AE6A1B" w:rsidRPr="0041247C" w:rsidRDefault="00AE6A1B" w:rsidP="00AE6A1B">
      <w:pPr>
        <w:ind w:left="0" w:firstLine="0"/>
        <w:rPr>
          <w:iCs/>
          <w:color w:val="1F497D" w:themeColor="text2"/>
        </w:rPr>
      </w:pPr>
    </w:p>
    <w:p w:rsidR="00AC787B" w:rsidRPr="003F3AD0" w:rsidRDefault="00AE6A1B" w:rsidP="00AE6A1B">
      <w:pPr>
        <w:ind w:left="0" w:firstLine="0"/>
        <w:rPr>
          <w:iCs/>
          <w:color w:val="1F497D" w:themeColor="text2"/>
        </w:rPr>
      </w:pPr>
      <w:r w:rsidRPr="0041247C">
        <w:rPr>
          <w:iCs/>
          <w:color w:val="1F497D" w:themeColor="text2"/>
        </w:rPr>
        <w:lastRenderedPageBreak/>
        <w:t>It is necessary to have conversations on advanced care planning with the resident and family members. These conversations are centered on noting the resident</w:t>
      </w:r>
      <w:r w:rsidR="00812E5F" w:rsidRPr="0041247C">
        <w:rPr>
          <w:iCs/>
          <w:color w:val="1F497D" w:themeColor="text2"/>
        </w:rPr>
        <w:t>’</w:t>
      </w:r>
      <w:r w:rsidRPr="0041247C">
        <w:rPr>
          <w:iCs/>
          <w:color w:val="1F497D" w:themeColor="text2"/>
        </w:rPr>
        <w:t xml:space="preserve">s preferences </w:t>
      </w:r>
      <w:r w:rsidR="00812E5F" w:rsidRPr="0041247C">
        <w:rPr>
          <w:iCs/>
          <w:color w:val="1F497D" w:themeColor="text2"/>
        </w:rPr>
        <w:t>while they are cognitively and physically able to share their wishes.</w:t>
      </w:r>
      <w:r w:rsidR="001C346C" w:rsidRPr="0041247C">
        <w:rPr>
          <w:iCs/>
          <w:color w:val="1F497D" w:themeColor="text2"/>
        </w:rPr>
        <w:t xml:space="preserve"> Research has demonstrated that</w:t>
      </w:r>
      <w:r w:rsidR="00CF03C5">
        <w:rPr>
          <w:iCs/>
          <w:color w:val="1F497D" w:themeColor="text2"/>
        </w:rPr>
        <w:t xml:space="preserve"> advanced care planning</w:t>
      </w:r>
      <w:r w:rsidR="001C346C" w:rsidRPr="0041247C">
        <w:rPr>
          <w:iCs/>
          <w:color w:val="1F497D" w:themeColor="text2"/>
        </w:rPr>
        <w:t xml:space="preserve"> improve</w:t>
      </w:r>
      <w:r w:rsidR="00CF03C5">
        <w:rPr>
          <w:iCs/>
          <w:color w:val="1F497D" w:themeColor="text2"/>
        </w:rPr>
        <w:t>s</w:t>
      </w:r>
      <w:r w:rsidR="001C346C" w:rsidRPr="0041247C">
        <w:rPr>
          <w:iCs/>
          <w:color w:val="1F497D" w:themeColor="text2"/>
        </w:rPr>
        <w:t xml:space="preserve"> end of life care, decrease</w:t>
      </w:r>
      <w:r w:rsidR="00CF03C5">
        <w:rPr>
          <w:iCs/>
          <w:color w:val="1F497D" w:themeColor="text2"/>
        </w:rPr>
        <w:t>s</w:t>
      </w:r>
      <w:r w:rsidR="001C346C" w:rsidRPr="0041247C">
        <w:rPr>
          <w:iCs/>
          <w:color w:val="1F497D" w:themeColor="text2"/>
        </w:rPr>
        <w:t xml:space="preserve"> life-sustaining treatment and prevent</w:t>
      </w:r>
      <w:r w:rsidR="00CF03C5">
        <w:rPr>
          <w:iCs/>
          <w:color w:val="1F497D" w:themeColor="text2"/>
        </w:rPr>
        <w:t>s</w:t>
      </w:r>
      <w:r w:rsidR="001C346C" w:rsidRPr="0041247C">
        <w:rPr>
          <w:iCs/>
          <w:color w:val="1F497D" w:themeColor="text2"/>
        </w:rPr>
        <w:t xml:space="preserve"> hospitalizations. At the same time</w:t>
      </w:r>
      <w:r w:rsidR="00CF03C5">
        <w:rPr>
          <w:iCs/>
          <w:color w:val="1F497D" w:themeColor="text2"/>
        </w:rPr>
        <w:t>,</w:t>
      </w:r>
      <w:r w:rsidR="001C346C" w:rsidRPr="0041247C">
        <w:rPr>
          <w:iCs/>
          <w:color w:val="1F497D" w:themeColor="text2"/>
        </w:rPr>
        <w:t xml:space="preserve"> advanced </w:t>
      </w:r>
      <w:r w:rsidR="001C346C" w:rsidRPr="003F3AD0">
        <w:rPr>
          <w:iCs/>
          <w:color w:val="1F497D" w:themeColor="text2"/>
        </w:rPr>
        <w:t xml:space="preserve">care planning leads to an increase in the use of hospice and palliative care (Brinkman-Stoppelenburg et at., 2014). </w:t>
      </w:r>
      <w:r w:rsidR="0041247C" w:rsidRPr="003F3AD0">
        <w:rPr>
          <w:iCs/>
          <w:color w:val="1F497D" w:themeColor="text2"/>
        </w:rPr>
        <w:t>It ha</w:t>
      </w:r>
      <w:r w:rsidR="00CF03C5">
        <w:rPr>
          <w:iCs/>
          <w:color w:val="1F497D" w:themeColor="text2"/>
        </w:rPr>
        <w:t>s</w:t>
      </w:r>
      <w:r w:rsidR="0041247C" w:rsidRPr="003F3AD0">
        <w:rPr>
          <w:iCs/>
          <w:color w:val="1F497D" w:themeColor="text2"/>
        </w:rPr>
        <w:t xml:space="preserve"> further </w:t>
      </w:r>
      <w:r w:rsidRPr="003F3AD0">
        <w:rPr>
          <w:iCs/>
          <w:color w:val="1F497D" w:themeColor="text2"/>
        </w:rPr>
        <w:t>been shown that having an advanced care directive can lower the rate of hospitalizations and death in a hospital (Detering &amp; Silveira, 2015). All staff must be aware of healthcare advanced directives wh</w:t>
      </w:r>
      <w:r w:rsidR="00CF03C5">
        <w:rPr>
          <w:iCs/>
          <w:color w:val="1F497D" w:themeColor="text2"/>
        </w:rPr>
        <w:t>en</w:t>
      </w:r>
      <w:r w:rsidRPr="003F3AD0">
        <w:rPr>
          <w:iCs/>
          <w:color w:val="1F497D" w:themeColor="text2"/>
        </w:rPr>
        <w:t xml:space="preserve"> discussing patient transfer</w:t>
      </w:r>
      <w:r w:rsidR="00CF03C5">
        <w:rPr>
          <w:iCs/>
          <w:color w:val="1F497D" w:themeColor="text2"/>
        </w:rPr>
        <w:t>s</w:t>
      </w:r>
      <w:r w:rsidRPr="003F3AD0">
        <w:rPr>
          <w:iCs/>
          <w:color w:val="1F497D" w:themeColor="text2"/>
        </w:rPr>
        <w:t xml:space="preserve">  to avoid inappropriate transfers and respect end-of-life wishes (Saliba et al., 2000).</w:t>
      </w:r>
    </w:p>
    <w:p w:rsidR="00AC787B" w:rsidRPr="003F3AD0" w:rsidRDefault="00AC787B" w:rsidP="009E2813">
      <w:pPr>
        <w:ind w:left="0" w:firstLine="0"/>
        <w:rPr>
          <w:b/>
          <w:iCs/>
          <w:color w:val="1F497D" w:themeColor="text2"/>
        </w:rPr>
      </w:pPr>
    </w:p>
    <w:p w:rsidR="00AC787B" w:rsidRPr="003F3AD0" w:rsidRDefault="00AC787B" w:rsidP="009E2813">
      <w:pPr>
        <w:ind w:left="0" w:firstLine="0"/>
        <w:rPr>
          <w:b/>
          <w:iCs/>
          <w:color w:val="1F497D" w:themeColor="text2"/>
        </w:rPr>
      </w:pPr>
      <w:r w:rsidRPr="003F3AD0">
        <w:rPr>
          <w:b/>
          <w:iCs/>
          <w:color w:val="1F497D" w:themeColor="text2"/>
        </w:rPr>
        <w:t xml:space="preserve">Improving Disease Management </w:t>
      </w:r>
    </w:p>
    <w:p w:rsidR="0041247C" w:rsidRPr="003F3AD0" w:rsidRDefault="0041247C" w:rsidP="0041247C">
      <w:pPr>
        <w:ind w:left="0" w:firstLine="0"/>
        <w:rPr>
          <w:iCs/>
          <w:color w:val="1F497D" w:themeColor="text2"/>
        </w:rPr>
      </w:pPr>
      <w:r w:rsidRPr="003F3AD0">
        <w:rPr>
          <w:b/>
          <w:i/>
          <w:iCs/>
          <w:color w:val="1F497D" w:themeColor="text2"/>
        </w:rPr>
        <w:t>INTERACT</w:t>
      </w:r>
      <w:r w:rsidRPr="003F3AD0">
        <w:rPr>
          <w:iCs/>
          <w:color w:val="1F497D" w:themeColor="text2"/>
        </w:rPr>
        <w:t xml:space="preserve"> </w:t>
      </w:r>
    </w:p>
    <w:p w:rsidR="00AC787B" w:rsidRPr="003F3AD0" w:rsidRDefault="00AC787B" w:rsidP="0041247C">
      <w:pPr>
        <w:ind w:left="0" w:firstLine="0"/>
        <w:rPr>
          <w:iCs/>
          <w:color w:val="1F497D" w:themeColor="text2"/>
        </w:rPr>
      </w:pPr>
      <w:r w:rsidRPr="003F3AD0">
        <w:rPr>
          <w:iCs/>
          <w:color w:val="1F497D" w:themeColor="text2"/>
        </w:rPr>
        <w:t xml:space="preserve">The Interventions to Reduce Acute Care Transfers (INTERACT) is a set of evidence-based clinical practice tools and strategies initially developed as a demonstration program to reduce hospitalization rates. The program reduced avoidable hospitalization in rates among nursing homes during the six-month implementation </w:t>
      </w:r>
      <w:r w:rsidR="003F3AD0" w:rsidRPr="003F3AD0">
        <w:rPr>
          <w:iCs/>
          <w:color w:val="1F497D" w:themeColor="text2"/>
        </w:rPr>
        <w:t>period</w:t>
      </w:r>
      <w:r w:rsidR="00CF03C5">
        <w:rPr>
          <w:iCs/>
          <w:color w:val="1F497D" w:themeColor="text2"/>
        </w:rPr>
        <w:t xml:space="preserve"> </w:t>
      </w:r>
      <w:r w:rsidRPr="003F3AD0">
        <w:rPr>
          <w:iCs/>
          <w:color w:val="1F497D" w:themeColor="text2"/>
        </w:rPr>
        <w:t>(Ouslander et al., 2011). Overall, the program saw fewer complications and less morbidity from hospitalizations and reductions in Medicare expenditures (Ouslander et al., 2011). In combination with the INTERACT tools, nursing homes can employ best practices to avoid</w:t>
      </w:r>
      <w:r w:rsidR="00CF03C5">
        <w:rPr>
          <w:iCs/>
          <w:color w:val="1F497D" w:themeColor="text2"/>
        </w:rPr>
        <w:t xml:space="preserve"> or mitigate</w:t>
      </w:r>
      <w:r w:rsidRPr="003F3AD0">
        <w:rPr>
          <w:iCs/>
          <w:color w:val="1F497D" w:themeColor="text2"/>
        </w:rPr>
        <w:t xml:space="preserve"> risk factors for hospitalization among long-stay residents with chronic conditions. Potentially avoidable hospitalizations among nursing home residents are </w:t>
      </w:r>
      <w:r w:rsidR="00CF03C5">
        <w:rPr>
          <w:iCs/>
          <w:color w:val="1F497D" w:themeColor="text2"/>
        </w:rPr>
        <w:t xml:space="preserve">considered to be </w:t>
      </w:r>
      <w:r w:rsidRPr="003F3AD0">
        <w:rPr>
          <w:iCs/>
          <w:color w:val="1F497D" w:themeColor="text2"/>
        </w:rPr>
        <w:t xml:space="preserve">hospital admissions based on acute </w:t>
      </w:r>
      <w:r w:rsidR="00CF03C5">
        <w:rPr>
          <w:iCs/>
          <w:color w:val="1F497D" w:themeColor="text2"/>
        </w:rPr>
        <w:t xml:space="preserve"> exacerbation of </w:t>
      </w:r>
      <w:r w:rsidRPr="003F3AD0">
        <w:rPr>
          <w:iCs/>
          <w:color w:val="1F497D" w:themeColor="text2"/>
        </w:rPr>
        <w:t>a chronic condition where preventative care could have been provided (Spector et al., 2013). Chronic conditions can be effectively managed in nursing homes if preventative measures or best practices are put into place. For example, infection control, falls prevention, and proper hygiene for residents with open sores are measures that could be utilized to reduce unnecessary hospitalization (Spector et al., 2013).</w:t>
      </w:r>
    </w:p>
    <w:p w:rsidR="00AC787B" w:rsidRPr="003F3AD0" w:rsidRDefault="00AC787B" w:rsidP="009E2813">
      <w:pPr>
        <w:ind w:left="0" w:firstLine="0"/>
        <w:rPr>
          <w:b/>
          <w:iCs/>
          <w:color w:val="1F497D" w:themeColor="text2"/>
        </w:rPr>
      </w:pPr>
    </w:p>
    <w:p w:rsidR="009E2813" w:rsidRPr="003F3AD0" w:rsidRDefault="009E2813" w:rsidP="009E2813">
      <w:pPr>
        <w:ind w:left="0" w:firstLine="0"/>
        <w:rPr>
          <w:b/>
          <w:i/>
          <w:iCs/>
          <w:color w:val="1F497D" w:themeColor="text2"/>
        </w:rPr>
      </w:pPr>
      <w:r w:rsidRPr="003F3AD0">
        <w:rPr>
          <w:b/>
          <w:i/>
          <w:iCs/>
          <w:color w:val="1F497D" w:themeColor="text2"/>
        </w:rPr>
        <w:t>Funct</w:t>
      </w:r>
      <w:r w:rsidR="0041247C" w:rsidRPr="003F3AD0">
        <w:rPr>
          <w:b/>
          <w:i/>
          <w:iCs/>
          <w:color w:val="1F497D" w:themeColor="text2"/>
        </w:rPr>
        <w:t>ional Status/</w:t>
      </w:r>
      <w:r w:rsidRPr="003F3AD0">
        <w:rPr>
          <w:b/>
          <w:i/>
          <w:iCs/>
          <w:color w:val="1F497D" w:themeColor="text2"/>
        </w:rPr>
        <w:t>ADLs</w:t>
      </w:r>
    </w:p>
    <w:p w:rsidR="003F3AD0" w:rsidRPr="003F3AD0" w:rsidRDefault="00210DD7" w:rsidP="002E2177">
      <w:pPr>
        <w:ind w:left="0" w:firstLine="0"/>
        <w:rPr>
          <w:iCs/>
          <w:color w:val="1F497D" w:themeColor="text2"/>
        </w:rPr>
      </w:pPr>
      <w:r w:rsidRPr="003F3AD0">
        <w:rPr>
          <w:iCs/>
          <w:color w:val="1F497D" w:themeColor="text2"/>
        </w:rPr>
        <w:t xml:space="preserve">Long-stay residents are more </w:t>
      </w:r>
      <w:r w:rsidR="00CF03C5">
        <w:rPr>
          <w:iCs/>
          <w:color w:val="1F497D" w:themeColor="text2"/>
        </w:rPr>
        <w:t>likely</w:t>
      </w:r>
      <w:r w:rsidR="00CF03C5" w:rsidRPr="003F3AD0">
        <w:rPr>
          <w:iCs/>
          <w:color w:val="1F497D" w:themeColor="text2"/>
        </w:rPr>
        <w:t xml:space="preserve"> </w:t>
      </w:r>
      <w:r w:rsidRPr="003F3AD0">
        <w:rPr>
          <w:iCs/>
          <w:color w:val="1F497D" w:themeColor="text2"/>
        </w:rPr>
        <w:t xml:space="preserve">to demonstrate functional and behavioral impairment throughout </w:t>
      </w:r>
      <w:r w:rsidR="003F3AD0" w:rsidRPr="003F3AD0">
        <w:rPr>
          <w:iCs/>
          <w:color w:val="1F497D" w:themeColor="text2"/>
        </w:rPr>
        <w:t xml:space="preserve">their </w:t>
      </w:r>
      <w:r w:rsidRPr="003F3AD0">
        <w:rPr>
          <w:iCs/>
          <w:color w:val="1F497D" w:themeColor="text2"/>
        </w:rPr>
        <w:t>length of stay. Functional status is a practical outcome measure for this population</w:t>
      </w:r>
      <w:r w:rsidR="00703BE2" w:rsidRPr="003F3AD0">
        <w:rPr>
          <w:iCs/>
          <w:color w:val="1F497D" w:themeColor="text2"/>
        </w:rPr>
        <w:t>, specifically in the physical and s</w:t>
      </w:r>
      <w:r w:rsidR="003F3AD0" w:rsidRPr="003F3AD0">
        <w:rPr>
          <w:iCs/>
          <w:color w:val="1F497D" w:themeColor="text2"/>
        </w:rPr>
        <w:t>elf-care domain, as long-stay residents</w:t>
      </w:r>
      <w:r w:rsidR="00703BE2" w:rsidRPr="003F3AD0">
        <w:rPr>
          <w:iCs/>
          <w:color w:val="1F497D" w:themeColor="text2"/>
        </w:rPr>
        <w:t xml:space="preserve"> are likely to demonstrate functional limitations (Gillen et al., 1996). Change of </w:t>
      </w:r>
      <w:r w:rsidR="00CF03C5">
        <w:rPr>
          <w:iCs/>
          <w:color w:val="1F497D" w:themeColor="text2"/>
        </w:rPr>
        <w:t xml:space="preserve">functional </w:t>
      </w:r>
      <w:r w:rsidR="00703BE2" w:rsidRPr="003F3AD0">
        <w:rPr>
          <w:iCs/>
          <w:color w:val="1F497D" w:themeColor="text2"/>
        </w:rPr>
        <w:t>status is most likely to occur within the three month period after admission. Long-stay residents are more likely to remain stable at the same functional level and therefore, less likely to be discharged from a facility.  Gillen et al. (1996) found a positive relationship between higher levels of functional impairment and higher probabilities of hospitalization and death among the long-stay population. Over half of their sample experienced a functional status change and/or two or more transitions. Activities of daily living (ADLs) dependency</w:t>
      </w:r>
      <w:r w:rsidR="00CF03C5">
        <w:rPr>
          <w:iCs/>
          <w:color w:val="1F497D" w:themeColor="text2"/>
        </w:rPr>
        <w:t xml:space="preserve"> level</w:t>
      </w:r>
      <w:r w:rsidR="00703BE2" w:rsidRPr="003F3AD0">
        <w:rPr>
          <w:iCs/>
          <w:color w:val="1F497D" w:themeColor="text2"/>
        </w:rPr>
        <w:t xml:space="preserve"> is another risk factor for hospitalization and post</w:t>
      </w:r>
      <w:r w:rsidR="003F3AD0" w:rsidRPr="003F3AD0">
        <w:rPr>
          <w:iCs/>
          <w:color w:val="1F497D" w:themeColor="text2"/>
        </w:rPr>
        <w:t xml:space="preserve"> </w:t>
      </w:r>
      <w:r w:rsidR="00703BE2" w:rsidRPr="003F3AD0">
        <w:rPr>
          <w:iCs/>
          <w:color w:val="1F497D" w:themeColor="text2"/>
        </w:rPr>
        <w:t>discharge mortality (Ponzetto et al. 2003).</w:t>
      </w:r>
      <w:r w:rsidR="00C14ECA" w:rsidRPr="003F3AD0">
        <w:rPr>
          <w:iCs/>
          <w:color w:val="1F497D" w:themeColor="text2"/>
        </w:rPr>
        <w:t xml:space="preserve"> It is essential that nursing homes provide the appropriate level of care in order for residents to maintain the same functional status. Maintaining functional status will prevent the deteriorating of health and reduce hospitalization.  </w:t>
      </w:r>
    </w:p>
    <w:p w:rsidR="00794646" w:rsidRPr="003F3AD0" w:rsidRDefault="00025D76" w:rsidP="002E2177">
      <w:pPr>
        <w:ind w:left="0" w:firstLine="0"/>
        <w:rPr>
          <w:iCs/>
          <w:color w:val="1F497D" w:themeColor="text2"/>
        </w:rPr>
      </w:pPr>
      <w:r w:rsidRPr="003F3AD0">
        <w:rPr>
          <w:iCs/>
          <w:color w:val="1F497D" w:themeColor="text2"/>
        </w:rPr>
        <w:tab/>
        <w:t xml:space="preserve"> </w:t>
      </w:r>
    </w:p>
    <w:p w:rsidR="008A0904" w:rsidRPr="00161948" w:rsidRDefault="008A0904" w:rsidP="002E2177">
      <w:pPr>
        <w:ind w:left="0" w:firstLine="0"/>
        <w:rPr>
          <w:iCs/>
          <w:color w:val="1F497D" w:themeColor="text2"/>
        </w:rPr>
      </w:pPr>
      <w:r w:rsidRPr="003F3AD0">
        <w:rPr>
          <w:b/>
          <w:i/>
          <w:iCs/>
          <w:color w:val="1F497D" w:themeColor="text2"/>
        </w:rPr>
        <w:t>Antipsychotics</w:t>
      </w:r>
    </w:p>
    <w:p w:rsidR="00E10C25" w:rsidRPr="003F3AD0" w:rsidRDefault="00161948" w:rsidP="002E2177">
      <w:pPr>
        <w:ind w:left="0" w:firstLine="0"/>
        <w:rPr>
          <w:iCs/>
          <w:color w:val="1F497D" w:themeColor="text2"/>
        </w:rPr>
      </w:pPr>
      <w:r>
        <w:rPr>
          <w:iCs/>
          <w:color w:val="1F497D" w:themeColor="text2"/>
        </w:rPr>
        <w:t xml:space="preserve">Antipsychotics have been utilized to </w:t>
      </w:r>
      <w:r w:rsidR="00CF03C5">
        <w:rPr>
          <w:iCs/>
          <w:color w:val="1F497D" w:themeColor="text2"/>
        </w:rPr>
        <w:t>treat</w:t>
      </w:r>
      <w:r>
        <w:rPr>
          <w:iCs/>
          <w:color w:val="1F497D" w:themeColor="text2"/>
        </w:rPr>
        <w:t xml:space="preserve"> </w:t>
      </w:r>
      <w:r w:rsidR="008E1E82" w:rsidRPr="00161948">
        <w:rPr>
          <w:iCs/>
          <w:color w:val="1F497D" w:themeColor="text2"/>
        </w:rPr>
        <w:t>behavioral</w:t>
      </w:r>
      <w:r w:rsidRPr="00161948">
        <w:rPr>
          <w:iCs/>
          <w:color w:val="1F497D" w:themeColor="text2"/>
        </w:rPr>
        <w:t xml:space="preserve"> and psychotic symptoms in dementia</w:t>
      </w:r>
      <w:r>
        <w:rPr>
          <w:iCs/>
          <w:color w:val="1F497D" w:themeColor="text2"/>
        </w:rPr>
        <w:t xml:space="preserve"> patients. </w:t>
      </w:r>
      <w:r w:rsidR="008E1E82">
        <w:rPr>
          <w:iCs/>
          <w:color w:val="1F497D" w:themeColor="text2"/>
        </w:rPr>
        <w:t>However, recentinitiatives ha</w:t>
      </w:r>
      <w:r w:rsidR="00CF03C5">
        <w:rPr>
          <w:iCs/>
          <w:color w:val="1F497D" w:themeColor="text2"/>
        </w:rPr>
        <w:t>ve</w:t>
      </w:r>
      <w:r w:rsidR="008E1E82">
        <w:rPr>
          <w:iCs/>
          <w:color w:val="1F497D" w:themeColor="text2"/>
        </w:rPr>
        <w:t xml:space="preserve"> warned against the adverse effects of these drugs on the elderly. </w:t>
      </w:r>
      <w:r w:rsidR="00C128FE" w:rsidRPr="003F3AD0">
        <w:rPr>
          <w:iCs/>
          <w:color w:val="1F497D" w:themeColor="text2"/>
        </w:rPr>
        <w:t xml:space="preserve">The use of antipsychotics among </w:t>
      </w:r>
      <w:r w:rsidR="006C570E" w:rsidRPr="003F3AD0">
        <w:rPr>
          <w:iCs/>
          <w:color w:val="1F497D" w:themeColor="text2"/>
        </w:rPr>
        <w:t>long-stay</w:t>
      </w:r>
      <w:r w:rsidR="00C128FE" w:rsidRPr="003F3AD0">
        <w:rPr>
          <w:iCs/>
          <w:color w:val="1F497D" w:themeColor="text2"/>
        </w:rPr>
        <w:t xml:space="preserve"> residents show</w:t>
      </w:r>
      <w:r w:rsidR="00886983" w:rsidRPr="003F3AD0">
        <w:rPr>
          <w:iCs/>
          <w:color w:val="1F497D" w:themeColor="text2"/>
        </w:rPr>
        <w:t>s</w:t>
      </w:r>
      <w:r w:rsidR="00C128FE" w:rsidRPr="003F3AD0">
        <w:rPr>
          <w:iCs/>
          <w:color w:val="1F497D" w:themeColor="text2"/>
        </w:rPr>
        <w:t xml:space="preserve"> evidence of mixed reviews with caution for adverse effects.</w:t>
      </w:r>
      <w:r w:rsidR="00E10C25" w:rsidRPr="003F3AD0">
        <w:rPr>
          <w:iCs/>
          <w:color w:val="1F497D" w:themeColor="text2"/>
        </w:rPr>
        <w:t xml:space="preserve"> The typical approach to treating a health condition is a combination of pharmacological and nonpharmacological methods. There is evidence that side effects from</w:t>
      </w:r>
      <w:r w:rsidR="00C128FE" w:rsidRPr="003F3AD0">
        <w:rPr>
          <w:iCs/>
          <w:color w:val="1F497D" w:themeColor="text2"/>
        </w:rPr>
        <w:t xml:space="preserve"> </w:t>
      </w:r>
      <w:r w:rsidR="00E10C25" w:rsidRPr="003F3AD0">
        <w:rPr>
          <w:iCs/>
          <w:color w:val="1F497D" w:themeColor="text2"/>
        </w:rPr>
        <w:t>antipsychotic</w:t>
      </w:r>
      <w:r w:rsidR="00CF03C5">
        <w:rPr>
          <w:iCs/>
          <w:color w:val="1F497D" w:themeColor="text2"/>
        </w:rPr>
        <w:t xml:space="preserve"> use</w:t>
      </w:r>
      <w:r w:rsidR="00E10C25" w:rsidRPr="003F3AD0">
        <w:rPr>
          <w:iCs/>
          <w:color w:val="1F497D" w:themeColor="text2"/>
        </w:rPr>
        <w:t xml:space="preserve"> ha</w:t>
      </w:r>
      <w:r w:rsidR="00CF03C5">
        <w:rPr>
          <w:iCs/>
          <w:color w:val="1F497D" w:themeColor="text2"/>
        </w:rPr>
        <w:t>ve</w:t>
      </w:r>
      <w:r w:rsidR="00E10C25" w:rsidRPr="003F3AD0">
        <w:rPr>
          <w:iCs/>
          <w:color w:val="1F497D" w:themeColor="text2"/>
        </w:rPr>
        <w:t xml:space="preserve"> the ability to reduce </w:t>
      </w:r>
      <w:r w:rsidR="00CF03C5">
        <w:rPr>
          <w:iCs/>
          <w:color w:val="1F497D" w:themeColor="text2"/>
        </w:rPr>
        <w:t xml:space="preserve">a </w:t>
      </w:r>
      <w:r w:rsidR="00E10C25" w:rsidRPr="003F3AD0">
        <w:rPr>
          <w:iCs/>
          <w:color w:val="1F497D" w:themeColor="text2"/>
        </w:rPr>
        <w:t xml:space="preserve">resident’s functional status and quality of life. For example, drugs with anticholinergic </w:t>
      </w:r>
      <w:r w:rsidR="00E10C25" w:rsidRPr="003F3AD0">
        <w:rPr>
          <w:iCs/>
          <w:color w:val="1F497D" w:themeColor="text2"/>
        </w:rPr>
        <w:lastRenderedPageBreak/>
        <w:t xml:space="preserve">burden (ACB) have shown to increase cognitive and physical impairments which </w:t>
      </w:r>
      <w:r w:rsidR="00CF03C5">
        <w:rPr>
          <w:iCs/>
          <w:color w:val="1F497D" w:themeColor="text2"/>
        </w:rPr>
        <w:t xml:space="preserve">can </w:t>
      </w:r>
      <w:r w:rsidR="00E10C25" w:rsidRPr="003F3AD0">
        <w:rPr>
          <w:iCs/>
          <w:color w:val="1F497D" w:themeColor="text2"/>
        </w:rPr>
        <w:t xml:space="preserve">lead to </w:t>
      </w:r>
      <w:r w:rsidR="00CF03C5">
        <w:rPr>
          <w:iCs/>
          <w:color w:val="1F497D" w:themeColor="text2"/>
        </w:rPr>
        <w:t xml:space="preserve">a </w:t>
      </w:r>
      <w:r w:rsidR="00E10C25" w:rsidRPr="003F3AD0">
        <w:rPr>
          <w:iCs/>
          <w:color w:val="1F497D" w:themeColor="text2"/>
        </w:rPr>
        <w:t xml:space="preserve">rapid functional decline (Kolanowski et al., 2009). </w:t>
      </w:r>
    </w:p>
    <w:p w:rsidR="003F3AD0" w:rsidRPr="003F3AD0" w:rsidRDefault="003F3AD0" w:rsidP="002E2177">
      <w:pPr>
        <w:ind w:left="0" w:firstLine="0"/>
        <w:rPr>
          <w:iCs/>
          <w:color w:val="1F497D" w:themeColor="text2"/>
        </w:rPr>
      </w:pPr>
    </w:p>
    <w:p w:rsidR="00C128FE" w:rsidRPr="003F3AD0" w:rsidRDefault="00C128FE" w:rsidP="002E2177">
      <w:pPr>
        <w:ind w:left="0" w:firstLine="0"/>
        <w:rPr>
          <w:iCs/>
          <w:color w:val="1F497D" w:themeColor="text2"/>
        </w:rPr>
      </w:pPr>
      <w:r w:rsidRPr="003F3AD0">
        <w:rPr>
          <w:iCs/>
          <w:color w:val="1F497D" w:themeColor="text2"/>
        </w:rPr>
        <w:t>Typically, adverse effects due to antipsychotic</w:t>
      </w:r>
      <w:r w:rsidR="00C33806">
        <w:rPr>
          <w:iCs/>
          <w:color w:val="1F497D" w:themeColor="text2"/>
        </w:rPr>
        <w:t xml:space="preserve"> use</w:t>
      </w:r>
      <w:r w:rsidRPr="003F3AD0">
        <w:rPr>
          <w:iCs/>
          <w:color w:val="1F497D" w:themeColor="text2"/>
        </w:rPr>
        <w:t xml:space="preserve"> may affect </w:t>
      </w:r>
      <w:r w:rsidR="00C33806">
        <w:rPr>
          <w:iCs/>
          <w:color w:val="1F497D" w:themeColor="text2"/>
        </w:rPr>
        <w:t xml:space="preserve">a </w:t>
      </w:r>
      <w:r w:rsidRPr="003F3AD0">
        <w:rPr>
          <w:iCs/>
          <w:color w:val="1F497D" w:themeColor="text2"/>
        </w:rPr>
        <w:t xml:space="preserve">resident’s quality of life including depression, cognitive impairment and hospitalization. </w:t>
      </w:r>
      <w:r w:rsidR="00EF5CC7" w:rsidRPr="003F3AD0">
        <w:rPr>
          <w:iCs/>
          <w:color w:val="1F497D" w:themeColor="text2"/>
        </w:rPr>
        <w:t xml:space="preserve">Older adults are more sensitive to adverse effects from antipsychotics, therefore, caution must be used (Frenchman, 2005).  Long-stay residents who ingest high levels of ACB are more likely to be socially withdrawn from activities that require high social engagement. Sedation and confusion are common side effects associated with ACB (Kolanowski et al., 2009). </w:t>
      </w:r>
      <w:r w:rsidR="00161948">
        <w:rPr>
          <w:iCs/>
          <w:color w:val="1F497D" w:themeColor="text2"/>
        </w:rPr>
        <w:t xml:space="preserve">Atypical antipsychotics have also been proven to have negative results on individuals with dementia. For instance, a study by Gareri et. al (2010), found that the drugs </w:t>
      </w:r>
      <w:r w:rsidR="00161948" w:rsidRPr="00161948">
        <w:rPr>
          <w:iCs/>
          <w:color w:val="1F497D" w:themeColor="text2"/>
        </w:rPr>
        <w:t>risperidone and olanzapine</w:t>
      </w:r>
      <w:r w:rsidR="00161948">
        <w:rPr>
          <w:iCs/>
          <w:color w:val="1F497D" w:themeColor="text2"/>
        </w:rPr>
        <w:t xml:space="preserve"> have been shown in increase adverse cardiovascular events in the elderly. </w:t>
      </w:r>
    </w:p>
    <w:p w:rsidR="00054726" w:rsidRDefault="00054726" w:rsidP="002E2177">
      <w:pPr>
        <w:ind w:left="0" w:firstLine="0"/>
        <w:rPr>
          <w:iCs/>
        </w:rPr>
      </w:pPr>
    </w:p>
    <w:p w:rsidR="001C346C" w:rsidRPr="001C346C" w:rsidRDefault="001C346C" w:rsidP="002E2177">
      <w:pPr>
        <w:ind w:left="0" w:firstLine="0"/>
      </w:pPr>
    </w:p>
    <w:p w:rsidR="001C346C" w:rsidRPr="003F3AD0" w:rsidRDefault="00BA39E5" w:rsidP="002E2177">
      <w:pPr>
        <w:ind w:left="0" w:firstLine="0"/>
        <w:rPr>
          <w:iCs/>
          <w:color w:val="1F497D" w:themeColor="text2"/>
        </w:rPr>
      </w:pPr>
      <w:hyperlink r:id="rId19" w:history="1">
        <w:r w:rsidR="001C346C" w:rsidRPr="003F3AD0">
          <w:rPr>
            <w:iCs/>
            <w:color w:val="1F497D" w:themeColor="text2"/>
          </w:rPr>
          <w:t>Brinkman-Stoppelenburg, A</w:t>
        </w:r>
      </w:hyperlink>
      <w:r w:rsidR="001C346C" w:rsidRPr="003F3AD0">
        <w:rPr>
          <w:iCs/>
          <w:color w:val="1F497D" w:themeColor="text2"/>
        </w:rPr>
        <w:t xml:space="preserve">., </w:t>
      </w:r>
      <w:hyperlink r:id="rId20" w:history="1">
        <w:r w:rsidR="001C346C" w:rsidRPr="003F3AD0">
          <w:rPr>
            <w:iCs/>
            <w:color w:val="1F497D" w:themeColor="text2"/>
          </w:rPr>
          <w:t>Rietjens, J.A</w:t>
        </w:r>
      </w:hyperlink>
      <w:r w:rsidR="001C346C" w:rsidRPr="003F3AD0">
        <w:rPr>
          <w:iCs/>
          <w:color w:val="1F497D" w:themeColor="text2"/>
        </w:rPr>
        <w:t xml:space="preserve">., </w:t>
      </w:r>
      <w:hyperlink r:id="rId21" w:history="1">
        <w:r w:rsidR="001C346C" w:rsidRPr="003F3AD0">
          <w:rPr>
            <w:iCs/>
            <w:color w:val="1F497D" w:themeColor="text2"/>
          </w:rPr>
          <w:t>Van Der Heide, A</w:t>
        </w:r>
      </w:hyperlink>
      <w:r w:rsidR="001C346C" w:rsidRPr="003F3AD0">
        <w:rPr>
          <w:iCs/>
          <w:color w:val="1F497D" w:themeColor="text2"/>
        </w:rPr>
        <w:t xml:space="preserve">. (2014). The effects of advance care planning on end-of-life care: A systematic review. </w:t>
      </w:r>
      <w:r w:rsidR="001C346C" w:rsidRPr="003F3AD0">
        <w:rPr>
          <w:color w:val="1F497D" w:themeColor="text2"/>
        </w:rPr>
        <w:t xml:space="preserve">Palliat Med. 28: 1000-1025. </w:t>
      </w:r>
    </w:p>
    <w:p w:rsidR="001C346C" w:rsidRPr="003F3AD0" w:rsidRDefault="001C346C" w:rsidP="002E2177">
      <w:pPr>
        <w:ind w:left="0" w:firstLine="0"/>
        <w:rPr>
          <w:iCs/>
          <w:color w:val="1F497D" w:themeColor="text2"/>
        </w:rPr>
      </w:pPr>
    </w:p>
    <w:p w:rsidR="001C51BF" w:rsidRPr="003F3AD0" w:rsidRDefault="00AE6A1B" w:rsidP="002E2177">
      <w:pPr>
        <w:ind w:left="0" w:firstLine="0"/>
        <w:rPr>
          <w:iCs/>
          <w:color w:val="1F497D" w:themeColor="text2"/>
        </w:rPr>
      </w:pPr>
      <w:r w:rsidRPr="003F3AD0">
        <w:rPr>
          <w:iCs/>
          <w:color w:val="1F497D" w:themeColor="text2"/>
        </w:rPr>
        <w:t>Collier, E. &amp;</w:t>
      </w:r>
      <w:r w:rsidR="001C51BF" w:rsidRPr="003F3AD0">
        <w:rPr>
          <w:iCs/>
          <w:color w:val="1F497D" w:themeColor="text2"/>
        </w:rPr>
        <w:t xml:space="preserve"> Harrington, C. (2008). Staffing characteristics, turnover rates, and quality of resident care in nursing facilities. Research</w:t>
      </w:r>
      <w:r w:rsidR="009C2D52" w:rsidRPr="003F3AD0">
        <w:rPr>
          <w:iCs/>
          <w:color w:val="1F497D" w:themeColor="text2"/>
        </w:rPr>
        <w:t xml:space="preserve"> in Gerontological Nursing. 1(3): </w:t>
      </w:r>
      <w:r w:rsidR="001C51BF" w:rsidRPr="003F3AD0">
        <w:rPr>
          <w:iCs/>
          <w:color w:val="1F497D" w:themeColor="text2"/>
        </w:rPr>
        <w:t>157-170.</w:t>
      </w:r>
    </w:p>
    <w:p w:rsidR="00AE6A1B" w:rsidRPr="003F3AD0" w:rsidRDefault="00AE6A1B" w:rsidP="002E2177">
      <w:pPr>
        <w:ind w:left="0" w:firstLine="0"/>
        <w:rPr>
          <w:iCs/>
          <w:color w:val="1F497D" w:themeColor="text2"/>
        </w:rPr>
      </w:pPr>
    </w:p>
    <w:p w:rsidR="001C51BF" w:rsidRPr="003F3AD0" w:rsidRDefault="00AE6A1B" w:rsidP="002E2177">
      <w:pPr>
        <w:ind w:left="0" w:firstLine="0"/>
        <w:rPr>
          <w:iCs/>
          <w:color w:val="1F497D" w:themeColor="text2"/>
        </w:rPr>
      </w:pPr>
      <w:r w:rsidRPr="003F3AD0">
        <w:rPr>
          <w:iCs/>
          <w:color w:val="1F497D" w:themeColor="text2"/>
        </w:rPr>
        <w:t xml:space="preserve">Detering, K. &amp; Silveira, M.J. (2015). Advanced Care Planning and Advanced Directives. UpToDate. </w:t>
      </w:r>
      <w:hyperlink r:id="rId22" w:history="1">
        <w:r w:rsidRPr="003F3AD0">
          <w:rPr>
            <w:rStyle w:val="Hyperlink"/>
            <w:iCs/>
            <w:color w:val="1F497D" w:themeColor="text2"/>
          </w:rPr>
          <w:t>http://www.uptodate.com/contents/advance-care-planning-and-advance-directives</w:t>
        </w:r>
      </w:hyperlink>
      <w:r w:rsidRPr="003F3AD0">
        <w:rPr>
          <w:iCs/>
          <w:color w:val="1F497D" w:themeColor="text2"/>
        </w:rPr>
        <w:t xml:space="preserve">. </w:t>
      </w:r>
    </w:p>
    <w:p w:rsidR="00AE6A1B" w:rsidRPr="003F3AD0" w:rsidRDefault="00AE6A1B" w:rsidP="002E2177">
      <w:pPr>
        <w:ind w:left="0" w:firstLine="0"/>
        <w:rPr>
          <w:iCs/>
          <w:color w:val="1F497D" w:themeColor="text2"/>
        </w:rPr>
      </w:pPr>
    </w:p>
    <w:p w:rsidR="00EF5CC7" w:rsidRPr="003F3AD0" w:rsidRDefault="00EF5CC7" w:rsidP="002E2177">
      <w:pPr>
        <w:ind w:left="0" w:firstLine="0"/>
        <w:rPr>
          <w:iCs/>
          <w:color w:val="1F497D" w:themeColor="text2"/>
        </w:rPr>
      </w:pPr>
      <w:r w:rsidRPr="003F3AD0">
        <w:rPr>
          <w:iCs/>
          <w:color w:val="1F497D" w:themeColor="text2"/>
        </w:rPr>
        <w:t xml:space="preserve">Frenchman, I.B. (2005). Atypical antipsychotics for nursing home patients. Drugs </w:t>
      </w:r>
      <w:r w:rsidR="009C2D52" w:rsidRPr="003F3AD0">
        <w:rPr>
          <w:iCs/>
          <w:color w:val="1F497D" w:themeColor="text2"/>
        </w:rPr>
        <w:t>and Aging. 22(3):</w:t>
      </w:r>
      <w:r w:rsidRPr="003F3AD0">
        <w:rPr>
          <w:iCs/>
          <w:color w:val="1F497D" w:themeColor="text2"/>
        </w:rPr>
        <w:t xml:space="preserve"> 257-264.</w:t>
      </w:r>
    </w:p>
    <w:p w:rsidR="00EF5CC7" w:rsidRDefault="00EF5CC7" w:rsidP="002E2177">
      <w:pPr>
        <w:ind w:left="0" w:firstLine="0"/>
        <w:rPr>
          <w:iCs/>
          <w:color w:val="1F497D" w:themeColor="text2"/>
        </w:rPr>
      </w:pPr>
    </w:p>
    <w:p w:rsidR="00161948" w:rsidRPr="00161948" w:rsidRDefault="00161948" w:rsidP="002E2177">
      <w:pPr>
        <w:ind w:left="0" w:firstLine="0"/>
        <w:rPr>
          <w:iCs/>
          <w:color w:val="1F497D" w:themeColor="text2"/>
        </w:rPr>
      </w:pPr>
      <w:r w:rsidRPr="00161948">
        <w:rPr>
          <w:iCs/>
          <w:color w:val="1F497D" w:themeColor="text2"/>
        </w:rPr>
        <w:t xml:space="preserve">Gareri, P., Marigliano, N. M., De Fazio, S., Lacava, R., Castagna, A., Costantino, D. S., &amp; De Sarro, G. (2010). Antipsychotics and dementia. BMC Geriatrics, 10(Suppl 1), A93. </w:t>
      </w:r>
    </w:p>
    <w:p w:rsidR="00161948" w:rsidRPr="003F3AD0" w:rsidRDefault="00161948" w:rsidP="002E2177">
      <w:pPr>
        <w:ind w:left="0" w:firstLine="0"/>
        <w:rPr>
          <w:iCs/>
          <w:color w:val="1F497D" w:themeColor="text2"/>
        </w:rPr>
      </w:pPr>
    </w:p>
    <w:p w:rsidR="00F62E27" w:rsidRPr="003F3AD0" w:rsidRDefault="00F62E27" w:rsidP="002E2177">
      <w:pPr>
        <w:ind w:left="0" w:firstLine="0"/>
        <w:rPr>
          <w:iCs/>
          <w:color w:val="1F497D" w:themeColor="text2"/>
        </w:rPr>
      </w:pPr>
      <w:r w:rsidRPr="003F3AD0">
        <w:rPr>
          <w:iCs/>
          <w:color w:val="1F497D" w:themeColor="text2"/>
        </w:rPr>
        <w:t>Gillen, P., Spore, D., Mor, V., Freiberger, W. (1996). Functional and residential status transitions among nursing home residents. Journal of Geronto</w:t>
      </w:r>
      <w:r w:rsidR="009C2D52" w:rsidRPr="003F3AD0">
        <w:rPr>
          <w:iCs/>
          <w:color w:val="1F497D" w:themeColor="text2"/>
        </w:rPr>
        <w:t xml:space="preserve">logy: Medical Sciences. 51A(1): </w:t>
      </w:r>
      <w:r w:rsidRPr="003F3AD0">
        <w:rPr>
          <w:iCs/>
          <w:color w:val="1F497D" w:themeColor="text2"/>
        </w:rPr>
        <w:t xml:space="preserve">M29-M36. </w:t>
      </w:r>
    </w:p>
    <w:p w:rsidR="00F62E27" w:rsidRPr="003F3AD0" w:rsidRDefault="00F62E27" w:rsidP="002E2177">
      <w:pPr>
        <w:ind w:left="0" w:firstLine="0"/>
        <w:rPr>
          <w:iCs/>
          <w:color w:val="1F497D" w:themeColor="text2"/>
        </w:rPr>
      </w:pPr>
    </w:p>
    <w:p w:rsidR="001C51BF" w:rsidRPr="003F3AD0" w:rsidRDefault="00565CDA" w:rsidP="002E2177">
      <w:pPr>
        <w:ind w:left="0" w:firstLine="0"/>
        <w:rPr>
          <w:iCs/>
          <w:color w:val="1F497D" w:themeColor="text2"/>
        </w:rPr>
      </w:pPr>
      <w:r w:rsidRPr="003F3AD0">
        <w:rPr>
          <w:iCs/>
          <w:color w:val="1F497D" w:themeColor="text2"/>
        </w:rPr>
        <w:t>Hamer, S., Haddad, P.M. (2007). Adverse effects of antipsychotics as outcome measures</w:t>
      </w:r>
      <w:r w:rsidR="001F24FE" w:rsidRPr="003F3AD0">
        <w:rPr>
          <w:iCs/>
          <w:color w:val="1F497D" w:themeColor="text2"/>
        </w:rPr>
        <w:t xml:space="preserve">. British Journal </w:t>
      </w:r>
    </w:p>
    <w:p w:rsidR="00565CDA" w:rsidRPr="003F3AD0" w:rsidRDefault="009C2D52" w:rsidP="002E2177">
      <w:pPr>
        <w:ind w:left="0" w:firstLine="0"/>
        <w:rPr>
          <w:iCs/>
          <w:color w:val="1F497D" w:themeColor="text2"/>
        </w:rPr>
      </w:pPr>
      <w:r w:rsidRPr="003F3AD0">
        <w:rPr>
          <w:iCs/>
          <w:color w:val="1F497D" w:themeColor="text2"/>
        </w:rPr>
        <w:t xml:space="preserve">of Psychiatry. 191(59): </w:t>
      </w:r>
      <w:r w:rsidR="001F24FE" w:rsidRPr="003F3AD0">
        <w:rPr>
          <w:iCs/>
          <w:color w:val="1F497D" w:themeColor="text2"/>
        </w:rPr>
        <w:t xml:space="preserve">264-279. </w:t>
      </w:r>
    </w:p>
    <w:p w:rsidR="00565CDA" w:rsidRPr="003F3AD0" w:rsidRDefault="00565CDA" w:rsidP="002E2177">
      <w:pPr>
        <w:ind w:left="0" w:firstLine="0"/>
        <w:rPr>
          <w:iCs/>
          <w:color w:val="1F497D" w:themeColor="text2"/>
        </w:rPr>
      </w:pPr>
    </w:p>
    <w:p w:rsidR="003F7CD1" w:rsidRPr="003F3AD0" w:rsidRDefault="003F7CD1" w:rsidP="002E2177">
      <w:pPr>
        <w:ind w:left="0" w:firstLine="0"/>
        <w:rPr>
          <w:iCs/>
          <w:color w:val="1F497D" w:themeColor="text2"/>
        </w:rPr>
      </w:pPr>
      <w:r w:rsidRPr="003F3AD0">
        <w:rPr>
          <w:iCs/>
          <w:color w:val="1F497D" w:themeColor="text2"/>
        </w:rPr>
        <w:t>Horn, S.D., Buerhaus, P., Bergstrom, N., Smout, R.J. (2005). RN staffing time and outcomes of long-stay nursing home resident</w:t>
      </w:r>
      <w:r w:rsidR="009C2D52" w:rsidRPr="003F3AD0">
        <w:rPr>
          <w:iCs/>
          <w:color w:val="1F497D" w:themeColor="text2"/>
        </w:rPr>
        <w:t xml:space="preserve">s. Journal of Nursing. 105(11): </w:t>
      </w:r>
      <w:r w:rsidRPr="003F3AD0">
        <w:rPr>
          <w:iCs/>
          <w:color w:val="1F497D" w:themeColor="text2"/>
        </w:rPr>
        <w:t xml:space="preserve">58-70. </w:t>
      </w:r>
    </w:p>
    <w:p w:rsidR="00624B80" w:rsidRPr="003F3AD0" w:rsidRDefault="00624B80" w:rsidP="00624B80">
      <w:pPr>
        <w:ind w:left="0" w:firstLine="0"/>
        <w:rPr>
          <w:iCs/>
          <w:color w:val="1F497D" w:themeColor="text2"/>
        </w:rPr>
      </w:pPr>
    </w:p>
    <w:p w:rsidR="0049261D" w:rsidRPr="003F3AD0" w:rsidRDefault="0049261D" w:rsidP="00624B80">
      <w:pPr>
        <w:ind w:left="0" w:firstLine="0"/>
        <w:rPr>
          <w:iCs/>
          <w:color w:val="1F497D" w:themeColor="text2"/>
        </w:rPr>
      </w:pPr>
      <w:r w:rsidRPr="003F3AD0">
        <w:rPr>
          <w:iCs/>
          <w:color w:val="1F497D" w:themeColor="text2"/>
        </w:rPr>
        <w:t>Intrator, O., Zinn, J., Mor, V. (2004). Nursing home characteristics and potentially preventable hospitalizations of long-stay residents. Journal of American Geriatrics Society. 52: 1730-1736.</w:t>
      </w:r>
    </w:p>
    <w:p w:rsidR="00E1017F" w:rsidRPr="003F3AD0" w:rsidRDefault="00E1017F" w:rsidP="00624B80">
      <w:pPr>
        <w:ind w:left="0" w:firstLine="0"/>
        <w:rPr>
          <w:iCs/>
          <w:color w:val="1F497D" w:themeColor="text2"/>
        </w:rPr>
      </w:pPr>
    </w:p>
    <w:p w:rsidR="00624B80" w:rsidRPr="003F3AD0" w:rsidRDefault="00624B80" w:rsidP="00624B80">
      <w:pPr>
        <w:ind w:left="0" w:firstLine="0"/>
        <w:rPr>
          <w:iCs/>
          <w:color w:val="1F497D" w:themeColor="text2"/>
        </w:rPr>
      </w:pPr>
      <w:r w:rsidRPr="003F3AD0">
        <w:rPr>
          <w:iCs/>
          <w:color w:val="1F497D" w:themeColor="text2"/>
        </w:rPr>
        <w:t>Kahn, J.M., Werner, R.M., David, G., Have, T.R.T., Benson, N.M., Asch, D.A. (2013). Effectiveness of long-term acute care hospitalization in elderly patients with chronic critical illness. MedCare. 51(1): 4-10.</w:t>
      </w:r>
    </w:p>
    <w:p w:rsidR="003F7CD1" w:rsidRPr="003F3AD0" w:rsidRDefault="003F7CD1" w:rsidP="002E2177">
      <w:pPr>
        <w:ind w:left="0" w:firstLine="0"/>
        <w:rPr>
          <w:iCs/>
          <w:color w:val="1F497D" w:themeColor="text2"/>
        </w:rPr>
      </w:pPr>
    </w:p>
    <w:p w:rsidR="00E10C25" w:rsidRPr="003F3AD0" w:rsidRDefault="00E10C25" w:rsidP="002E2177">
      <w:pPr>
        <w:ind w:left="0" w:firstLine="0"/>
        <w:rPr>
          <w:iCs/>
          <w:color w:val="1F497D" w:themeColor="text2"/>
        </w:rPr>
      </w:pPr>
      <w:r w:rsidRPr="003F3AD0">
        <w:rPr>
          <w:iCs/>
          <w:color w:val="1F497D" w:themeColor="text2"/>
        </w:rPr>
        <w:t xml:space="preserve">Kolanowski, A., Fick, D.M., Campbell, J., Litaker, M., Boustani, M. (2009). A </w:t>
      </w:r>
      <w:r w:rsidR="00EF5CC7" w:rsidRPr="003F3AD0">
        <w:rPr>
          <w:iCs/>
          <w:color w:val="1F497D" w:themeColor="text2"/>
        </w:rPr>
        <w:t>preliminary study of anticholin</w:t>
      </w:r>
      <w:r w:rsidRPr="003F3AD0">
        <w:rPr>
          <w:iCs/>
          <w:color w:val="1F497D" w:themeColor="text2"/>
        </w:rPr>
        <w:t>er</w:t>
      </w:r>
      <w:r w:rsidR="00EF5CC7" w:rsidRPr="003F3AD0">
        <w:rPr>
          <w:iCs/>
          <w:color w:val="1F497D" w:themeColor="text2"/>
        </w:rPr>
        <w:t>g</w:t>
      </w:r>
      <w:r w:rsidRPr="003F3AD0">
        <w:rPr>
          <w:iCs/>
          <w:color w:val="1F497D" w:themeColor="text2"/>
        </w:rPr>
        <w:t xml:space="preserve">ic </w:t>
      </w:r>
      <w:r w:rsidR="00EF5CC7" w:rsidRPr="003F3AD0">
        <w:rPr>
          <w:iCs/>
          <w:color w:val="1F497D" w:themeColor="text2"/>
        </w:rPr>
        <w:t>burden and relationship to a quality of life indicator, engagement in activities, in nursing home residents with dementia. Journal of the American Medica</w:t>
      </w:r>
      <w:r w:rsidR="009C2D52" w:rsidRPr="003F3AD0">
        <w:rPr>
          <w:iCs/>
          <w:color w:val="1F497D" w:themeColor="text2"/>
        </w:rPr>
        <w:t xml:space="preserve">l Directors Association. 10(4): </w:t>
      </w:r>
      <w:r w:rsidR="00EF5CC7" w:rsidRPr="003F3AD0">
        <w:rPr>
          <w:iCs/>
          <w:color w:val="1F497D" w:themeColor="text2"/>
        </w:rPr>
        <w:t>252-257.</w:t>
      </w:r>
    </w:p>
    <w:p w:rsidR="00721D8B" w:rsidRPr="003F3AD0" w:rsidRDefault="00721D8B" w:rsidP="002E2177">
      <w:pPr>
        <w:ind w:left="0" w:firstLine="0"/>
        <w:rPr>
          <w:iCs/>
          <w:color w:val="1F497D" w:themeColor="text2"/>
        </w:rPr>
      </w:pPr>
    </w:p>
    <w:p w:rsidR="003743D6" w:rsidRPr="003F3AD0" w:rsidRDefault="003743D6" w:rsidP="003743D6">
      <w:pPr>
        <w:shd w:val="clear" w:color="auto" w:fill="FFFFFF"/>
        <w:spacing w:after="120"/>
        <w:rPr>
          <w:rFonts w:eastAsia="Times New Roman" w:cstheme="minorHAnsi"/>
          <w:bCs/>
          <w:color w:val="1F497D" w:themeColor="text2"/>
        </w:rPr>
      </w:pPr>
      <w:r w:rsidRPr="003F3AD0">
        <w:rPr>
          <w:rFonts w:eastAsia="Times New Roman" w:cstheme="minorHAnsi"/>
          <w:bCs/>
          <w:color w:val="1F497D" w:themeColor="text2"/>
        </w:rPr>
        <w:lastRenderedPageBreak/>
        <w:t xml:space="preserve">Oslander, J.G., &amp; Maslow, K. (2012). Geriatrics and the triple aim: Defining preventable hospitalizations in the long-term care population. </w:t>
      </w:r>
      <w:r w:rsidRPr="003F3AD0">
        <w:rPr>
          <w:rFonts w:eastAsia="Times New Roman" w:cstheme="minorHAnsi"/>
          <w:bCs/>
          <w:i/>
          <w:color w:val="1F497D" w:themeColor="text2"/>
        </w:rPr>
        <w:t>J Am Geriatr Soc.</w:t>
      </w:r>
      <w:r w:rsidRPr="003F3AD0">
        <w:rPr>
          <w:rFonts w:eastAsia="Times New Roman" w:cstheme="minorHAnsi"/>
          <w:bCs/>
          <w:color w:val="1F497D" w:themeColor="text2"/>
        </w:rPr>
        <w:t xml:space="preserve">, 60(12): 2313-2318. </w:t>
      </w:r>
    </w:p>
    <w:p w:rsidR="003743D6" w:rsidRPr="003F3AD0" w:rsidRDefault="003743D6" w:rsidP="002E2177">
      <w:pPr>
        <w:ind w:left="0" w:firstLine="0"/>
        <w:rPr>
          <w:iCs/>
          <w:color w:val="1F497D" w:themeColor="text2"/>
        </w:rPr>
      </w:pPr>
      <w:r w:rsidRPr="003F3AD0">
        <w:rPr>
          <w:iCs/>
          <w:color w:val="1F497D" w:themeColor="text2"/>
        </w:rPr>
        <w:t>Ouslander, J.G., Lamb, G., Tappen, R., Herndon, L., Diaz, S., Roos, B.A., Grabowski, D.C., Bonner, A. (2011). Interventions to reduce hospitalizations from nursing homes: Evaluation of the INTERACT II collaborative quality improvement project. Journal of American Geriatrics Society 59: 745-753.</w:t>
      </w:r>
    </w:p>
    <w:p w:rsidR="00BB2F8B" w:rsidRPr="003F3AD0" w:rsidRDefault="00BB2F8B" w:rsidP="002E2177">
      <w:pPr>
        <w:ind w:left="0" w:firstLine="0"/>
        <w:rPr>
          <w:iCs/>
          <w:color w:val="1F497D" w:themeColor="text2"/>
        </w:rPr>
      </w:pPr>
    </w:p>
    <w:p w:rsidR="00CE0235" w:rsidRPr="003F3AD0" w:rsidRDefault="00CE0235" w:rsidP="002E2177">
      <w:pPr>
        <w:ind w:left="0" w:firstLine="0"/>
        <w:rPr>
          <w:iCs/>
          <w:color w:val="1F497D" w:themeColor="text2"/>
        </w:rPr>
      </w:pPr>
      <w:r w:rsidRPr="003F3AD0">
        <w:rPr>
          <w:iCs/>
          <w:color w:val="1F497D" w:themeColor="text2"/>
        </w:rPr>
        <w:t>Ponzetto, M., Maero, B., Maina, P., Rosato, R., Ciccone, G., Merletti, F., Rubenstein, L.Z., Fabris, F. (2003). Risk factors for early and late morality in hospitalized older patients: The continuing importance of functional status. Journal of Gerontol</w:t>
      </w:r>
      <w:r w:rsidR="00DA5C89" w:rsidRPr="003F3AD0">
        <w:rPr>
          <w:iCs/>
          <w:color w:val="1F497D" w:themeColor="text2"/>
        </w:rPr>
        <w:t xml:space="preserve">ogy: Medical Sciences. 58A(11): </w:t>
      </w:r>
      <w:r w:rsidRPr="003F3AD0">
        <w:rPr>
          <w:iCs/>
          <w:color w:val="1F497D" w:themeColor="text2"/>
        </w:rPr>
        <w:t xml:space="preserve">1049-1054. </w:t>
      </w:r>
    </w:p>
    <w:p w:rsidR="00CE0235" w:rsidRPr="003F3AD0" w:rsidRDefault="00CE0235" w:rsidP="002E2177">
      <w:pPr>
        <w:ind w:left="0" w:firstLine="0"/>
        <w:rPr>
          <w:iCs/>
          <w:color w:val="1F497D" w:themeColor="text2"/>
        </w:rPr>
      </w:pPr>
    </w:p>
    <w:p w:rsidR="007469BC" w:rsidRPr="003F3AD0" w:rsidRDefault="007469BC" w:rsidP="002E2177">
      <w:pPr>
        <w:ind w:left="0" w:firstLine="0"/>
        <w:rPr>
          <w:iCs/>
          <w:color w:val="1F497D" w:themeColor="text2"/>
        </w:rPr>
      </w:pPr>
      <w:r w:rsidRPr="003F3AD0">
        <w:rPr>
          <w:iCs/>
          <w:color w:val="1F497D" w:themeColor="text2"/>
        </w:rPr>
        <w:t xml:space="preserve">Saliba, D., Kington, R., Buchanan, J., Bell, R., Wang, M., Lee, M., Herbst, M., Lee, D., Sur, D., Rubenstein, L. (2000). Appropriateness of the decision to transfer nursing facility residents to the hospital. Journal of American Geriatrics Society. 48: 154-163. </w:t>
      </w:r>
    </w:p>
    <w:p w:rsidR="007469BC" w:rsidRPr="003F3AD0" w:rsidRDefault="007469BC" w:rsidP="002E2177">
      <w:pPr>
        <w:ind w:left="0" w:firstLine="0"/>
        <w:rPr>
          <w:iCs/>
          <w:color w:val="1F497D" w:themeColor="text2"/>
        </w:rPr>
      </w:pPr>
    </w:p>
    <w:p w:rsidR="00054726" w:rsidRPr="003F3AD0" w:rsidRDefault="00054726" w:rsidP="002E2177">
      <w:pPr>
        <w:ind w:left="0" w:firstLine="0"/>
        <w:rPr>
          <w:iCs/>
          <w:color w:val="1F497D" w:themeColor="text2"/>
        </w:rPr>
      </w:pPr>
      <w:r w:rsidRPr="003F3AD0">
        <w:rPr>
          <w:iCs/>
          <w:color w:val="1F497D" w:themeColor="text2"/>
        </w:rPr>
        <w:t>Spector, W.D., Limcangco, R., Williams, C., Rhodes, W., Hurd, D. (2013). Potentially avoidable hospitalizations for elderly long-stay residents in nursing homes. Medical Care 51(8): 673-681.</w:t>
      </w:r>
    </w:p>
    <w:p w:rsidR="00054726" w:rsidRPr="003F3AD0" w:rsidRDefault="00054726" w:rsidP="002E2177">
      <w:pPr>
        <w:ind w:left="0" w:firstLine="0"/>
        <w:rPr>
          <w:iCs/>
          <w:color w:val="1F497D" w:themeColor="text2"/>
        </w:rPr>
      </w:pPr>
    </w:p>
    <w:p w:rsidR="00721D8B" w:rsidRPr="003F3AD0" w:rsidRDefault="00721D8B" w:rsidP="002E2177">
      <w:pPr>
        <w:ind w:left="0" w:firstLine="0"/>
        <w:rPr>
          <w:iCs/>
          <w:color w:val="1F497D" w:themeColor="text2"/>
        </w:rPr>
      </w:pPr>
      <w:r w:rsidRPr="003F3AD0">
        <w:rPr>
          <w:iCs/>
          <w:color w:val="1F497D" w:themeColor="text2"/>
        </w:rPr>
        <w:t xml:space="preserve">Spilsbury, K., Hewitt, C., Stirk, L., Bowman, C. (2011). The relationship between nurse staffing and quality of care in nursing homes: A systematic review. International </w:t>
      </w:r>
      <w:r w:rsidR="00DA5C89" w:rsidRPr="003F3AD0">
        <w:rPr>
          <w:iCs/>
          <w:color w:val="1F497D" w:themeColor="text2"/>
        </w:rPr>
        <w:t xml:space="preserve">Journal of Nursing Studies. 48: </w:t>
      </w:r>
      <w:r w:rsidRPr="003F3AD0">
        <w:rPr>
          <w:iCs/>
          <w:color w:val="1F497D" w:themeColor="text2"/>
        </w:rPr>
        <w:t>732-750.</w:t>
      </w:r>
    </w:p>
    <w:p w:rsidR="008015A2" w:rsidRPr="003F3AD0" w:rsidRDefault="008015A2" w:rsidP="002E2177">
      <w:pPr>
        <w:ind w:left="0" w:firstLine="0"/>
        <w:rPr>
          <w:iCs/>
          <w:color w:val="1F497D" w:themeColor="text2"/>
        </w:rPr>
      </w:pPr>
    </w:p>
    <w:p w:rsidR="00DB5102" w:rsidRPr="003F3AD0" w:rsidRDefault="00DB5102" w:rsidP="002E2177">
      <w:pPr>
        <w:ind w:left="0" w:firstLine="0"/>
        <w:rPr>
          <w:iCs/>
          <w:color w:val="1F497D" w:themeColor="text2"/>
        </w:rPr>
      </w:pPr>
      <w:r w:rsidRPr="003F3AD0">
        <w:rPr>
          <w:iCs/>
          <w:color w:val="1F497D" w:themeColor="text2"/>
        </w:rPr>
        <w:t>We</w:t>
      </w:r>
      <w:r w:rsidR="006C570E" w:rsidRPr="003F3AD0">
        <w:rPr>
          <w:iCs/>
          <w:color w:val="1F497D" w:themeColor="text2"/>
        </w:rPr>
        <w:t>r</w:t>
      </w:r>
      <w:r w:rsidRPr="003F3AD0">
        <w:rPr>
          <w:iCs/>
          <w:color w:val="1F497D" w:themeColor="text2"/>
        </w:rPr>
        <w:t>ner, R.M., Konetzka, R.T., Kim, M.M. (2013). Quality improvement under nursing home compare: The association between changes in process and ou</w:t>
      </w:r>
      <w:r w:rsidR="00DA5C89" w:rsidRPr="003F3AD0">
        <w:rPr>
          <w:iCs/>
          <w:color w:val="1F497D" w:themeColor="text2"/>
        </w:rPr>
        <w:t xml:space="preserve">tcome measures. MedCare. 51(7): </w:t>
      </w:r>
      <w:r w:rsidRPr="003F3AD0">
        <w:rPr>
          <w:iCs/>
          <w:color w:val="1F497D" w:themeColor="text2"/>
        </w:rPr>
        <w:t>582-588.</w:t>
      </w:r>
    </w:p>
    <w:p w:rsidR="00977B50" w:rsidRPr="003F3AD0" w:rsidRDefault="00977B50" w:rsidP="002E2177">
      <w:pPr>
        <w:ind w:left="0" w:firstLine="0"/>
        <w:rPr>
          <w:iCs/>
          <w:color w:val="1F497D" w:themeColor="text2"/>
        </w:rPr>
      </w:pPr>
    </w:p>
    <w:p w:rsidR="00977B50" w:rsidRPr="003F3AD0" w:rsidRDefault="00977B50" w:rsidP="002E2177">
      <w:pPr>
        <w:ind w:left="0" w:firstLine="0"/>
        <w:rPr>
          <w:iCs/>
          <w:color w:val="1F497D" w:themeColor="text2"/>
        </w:rPr>
      </w:pPr>
      <w:r w:rsidRPr="003F3AD0">
        <w:rPr>
          <w:iCs/>
          <w:color w:val="1F497D" w:themeColor="text2"/>
        </w:rPr>
        <w:t>Young, Y. Inandar, S., Dichter, B.S., Kilburn, H., Hannan, E.L. (2011). Clinical and nonclinical factors associated with potentially preventable hospitalizations among nursing home residents in New York state. Journal of American Medical Directors Association. 12: 364-371.</w:t>
      </w:r>
    </w:p>
    <w:p w:rsidR="008015A2" w:rsidRDefault="008015A2" w:rsidP="002E2177">
      <w:pPr>
        <w:ind w:left="0" w:firstLine="0"/>
        <w:rPr>
          <w:i/>
          <w:iCs/>
          <w:highlight w:val="green"/>
          <w:u w:val="single"/>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BA39E5" w:rsidP="002E2177">
      <w:pPr>
        <w:ind w:left="0" w:firstLine="0"/>
      </w:pPr>
      <w:sdt>
        <w:sdtPr>
          <w:rPr>
            <w:bCs/>
            <w:color w:val="0000FF"/>
          </w:rPr>
          <w:id w:val="-468508862"/>
          <w14:checkbox>
            <w14:checked w14:val="0"/>
            <w14:checkedState w14:val="2612" w14:font="Arial Unicode MS"/>
            <w14:uncheckedState w14:val="2610" w14:font="Arial Unicode MS"/>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BA39E5" w:rsidP="002E2177">
      <w:pPr>
        <w:ind w:left="0" w:firstLine="0"/>
        <w:rPr>
          <w:b/>
          <w:i/>
        </w:rPr>
      </w:pPr>
      <w:sdt>
        <w:sdtPr>
          <w:rPr>
            <w:bCs/>
            <w:color w:val="0000FF"/>
          </w:rPr>
          <w:id w:val="-411317169"/>
          <w14:checkbox>
            <w14:checked w14:val="0"/>
            <w14:checkedState w14:val="2612" w14:font="Arial Unicode MS"/>
            <w14:uncheckedState w14:val="2610" w14:font="Arial Unicode MS"/>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BA39E5" w:rsidP="002E2177">
      <w:pPr>
        <w:ind w:left="0" w:firstLine="0"/>
      </w:pPr>
      <w:sdt>
        <w:sdtPr>
          <w:rPr>
            <w:bCs/>
            <w:color w:val="0000FF"/>
          </w:rPr>
          <w:id w:val="1199589694"/>
          <w14:checkbox>
            <w14:checked w14:val="0"/>
            <w14:checkedState w14:val="2612" w14:font="Arial Unicode MS"/>
            <w14:uncheckedState w14:val="2610" w14:font="Arial Unicode MS"/>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BA39E5" w:rsidP="002E2177">
      <w:pPr>
        <w:ind w:left="0" w:firstLine="0"/>
      </w:pPr>
      <w:sdt>
        <w:sdtPr>
          <w:rPr>
            <w:bCs/>
            <w:color w:val="0000FF"/>
          </w:rPr>
          <w:id w:val="302275832"/>
          <w14:checkbox>
            <w14:checked w14:val="0"/>
            <w14:checkedState w14:val="2612" w14:font="Arial Unicode MS"/>
            <w14:uncheckedState w14:val="2610" w14:font="Arial Unicode MS"/>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936A48" w:rsidRDefault="00936A48"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BA39E5" w:rsidP="00FC32D3">
      <w:pPr>
        <w:ind w:left="720" w:hanging="432"/>
        <w:rPr>
          <w:b/>
        </w:rPr>
      </w:pPr>
      <w:sdt>
        <w:sdtPr>
          <w:rPr>
            <w:bCs/>
            <w:color w:val="0000FF"/>
          </w:rPr>
          <w:id w:val="-1346319738"/>
          <w14:checkbox>
            <w14:checked w14:val="0"/>
            <w14:checkedState w14:val="2612" w14:font="Arial Unicode MS"/>
            <w14:uncheckedState w14:val="2610" w14:font="Arial Unicode MS"/>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BA39E5" w:rsidP="0098657F">
      <w:pPr>
        <w:ind w:left="1008" w:hanging="720"/>
      </w:pPr>
      <w:sdt>
        <w:sdtPr>
          <w:rPr>
            <w:bCs/>
            <w:color w:val="0000FF"/>
          </w:rPr>
          <w:id w:val="777454248"/>
          <w14:checkbox>
            <w14:checked w14:val="0"/>
            <w14:checkedState w14:val="2612" w14:font="Arial Unicode MS"/>
            <w14:uncheckedState w14:val="2610" w14:font="Arial Unicode MS"/>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lastRenderedPageBreak/>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lastRenderedPageBreak/>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721" w:rsidRDefault="00ED5721" w:rsidP="007E37A5">
      <w:r>
        <w:separator/>
      </w:r>
    </w:p>
  </w:endnote>
  <w:endnote w:type="continuationSeparator" w:id="0">
    <w:p w:rsidR="00ED5721" w:rsidRDefault="00ED572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A39E5">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721" w:rsidRDefault="00ED5721" w:rsidP="007E37A5">
      <w:r>
        <w:separator/>
      </w:r>
    </w:p>
  </w:footnote>
  <w:footnote w:type="continuationSeparator" w:id="0">
    <w:p w:rsidR="00ED5721" w:rsidRDefault="00ED5721"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281D"/>
    <w:rsid w:val="000045E1"/>
    <w:rsid w:val="0000597D"/>
    <w:rsid w:val="00015986"/>
    <w:rsid w:val="000160E6"/>
    <w:rsid w:val="00024526"/>
    <w:rsid w:val="00025D76"/>
    <w:rsid w:val="00030F43"/>
    <w:rsid w:val="00040DCF"/>
    <w:rsid w:val="00052C0B"/>
    <w:rsid w:val="00054726"/>
    <w:rsid w:val="00061CF3"/>
    <w:rsid w:val="00063601"/>
    <w:rsid w:val="00073079"/>
    <w:rsid w:val="0007593F"/>
    <w:rsid w:val="00095EC9"/>
    <w:rsid w:val="00096A37"/>
    <w:rsid w:val="000A0810"/>
    <w:rsid w:val="000B627F"/>
    <w:rsid w:val="000D649E"/>
    <w:rsid w:val="000D6D06"/>
    <w:rsid w:val="000E495B"/>
    <w:rsid w:val="00114848"/>
    <w:rsid w:val="00120934"/>
    <w:rsid w:val="00132070"/>
    <w:rsid w:val="00141875"/>
    <w:rsid w:val="0014347E"/>
    <w:rsid w:val="00154438"/>
    <w:rsid w:val="001551F6"/>
    <w:rsid w:val="0015535B"/>
    <w:rsid w:val="00161948"/>
    <w:rsid w:val="00162036"/>
    <w:rsid w:val="001632DD"/>
    <w:rsid w:val="0017190B"/>
    <w:rsid w:val="00176E60"/>
    <w:rsid w:val="00194D9A"/>
    <w:rsid w:val="001A196B"/>
    <w:rsid w:val="001A6D05"/>
    <w:rsid w:val="001B38BF"/>
    <w:rsid w:val="001B772D"/>
    <w:rsid w:val="001C346C"/>
    <w:rsid w:val="001C51BF"/>
    <w:rsid w:val="001D5B5D"/>
    <w:rsid w:val="001E6153"/>
    <w:rsid w:val="001F24FE"/>
    <w:rsid w:val="00201FF9"/>
    <w:rsid w:val="00205857"/>
    <w:rsid w:val="00210DD7"/>
    <w:rsid w:val="00235ADC"/>
    <w:rsid w:val="00236F87"/>
    <w:rsid w:val="00242166"/>
    <w:rsid w:val="002612D2"/>
    <w:rsid w:val="00265702"/>
    <w:rsid w:val="002662B2"/>
    <w:rsid w:val="00271611"/>
    <w:rsid w:val="002717C7"/>
    <w:rsid w:val="002875E9"/>
    <w:rsid w:val="00287EB3"/>
    <w:rsid w:val="002A47BA"/>
    <w:rsid w:val="002A6777"/>
    <w:rsid w:val="002A76C2"/>
    <w:rsid w:val="002B06BD"/>
    <w:rsid w:val="002C0E48"/>
    <w:rsid w:val="002C60DC"/>
    <w:rsid w:val="002C6F04"/>
    <w:rsid w:val="002E2177"/>
    <w:rsid w:val="002E2E41"/>
    <w:rsid w:val="002E675E"/>
    <w:rsid w:val="002E78CD"/>
    <w:rsid w:val="002F20A7"/>
    <w:rsid w:val="003008F4"/>
    <w:rsid w:val="00302B1D"/>
    <w:rsid w:val="0030528F"/>
    <w:rsid w:val="00307FA5"/>
    <w:rsid w:val="00324D64"/>
    <w:rsid w:val="00352B52"/>
    <w:rsid w:val="0035760D"/>
    <w:rsid w:val="00363ECC"/>
    <w:rsid w:val="00365C41"/>
    <w:rsid w:val="00373E13"/>
    <w:rsid w:val="003743D6"/>
    <w:rsid w:val="0039020B"/>
    <w:rsid w:val="00395263"/>
    <w:rsid w:val="003956E0"/>
    <w:rsid w:val="0039609A"/>
    <w:rsid w:val="00397500"/>
    <w:rsid w:val="003B1CC5"/>
    <w:rsid w:val="003B27C6"/>
    <w:rsid w:val="003B65CE"/>
    <w:rsid w:val="003E039E"/>
    <w:rsid w:val="003F3AD0"/>
    <w:rsid w:val="003F7CD1"/>
    <w:rsid w:val="0041247C"/>
    <w:rsid w:val="00422917"/>
    <w:rsid w:val="00440687"/>
    <w:rsid w:val="0044131D"/>
    <w:rsid w:val="00441ADA"/>
    <w:rsid w:val="00457E46"/>
    <w:rsid w:val="00465046"/>
    <w:rsid w:val="00467A5C"/>
    <w:rsid w:val="0049261D"/>
    <w:rsid w:val="004951B1"/>
    <w:rsid w:val="00496AF8"/>
    <w:rsid w:val="004A575D"/>
    <w:rsid w:val="004A7259"/>
    <w:rsid w:val="004B65C6"/>
    <w:rsid w:val="004D1DC7"/>
    <w:rsid w:val="004D414C"/>
    <w:rsid w:val="004E3696"/>
    <w:rsid w:val="004F7D7E"/>
    <w:rsid w:val="00500B0C"/>
    <w:rsid w:val="00530403"/>
    <w:rsid w:val="00537150"/>
    <w:rsid w:val="00540984"/>
    <w:rsid w:val="00543851"/>
    <w:rsid w:val="0055559D"/>
    <w:rsid w:val="005569AE"/>
    <w:rsid w:val="00565CDA"/>
    <w:rsid w:val="005857F8"/>
    <w:rsid w:val="005A1BAC"/>
    <w:rsid w:val="005B0D18"/>
    <w:rsid w:val="005B12C3"/>
    <w:rsid w:val="005B409D"/>
    <w:rsid w:val="005C5762"/>
    <w:rsid w:val="005D0FDB"/>
    <w:rsid w:val="005D25E9"/>
    <w:rsid w:val="005D6D59"/>
    <w:rsid w:val="00617390"/>
    <w:rsid w:val="00623420"/>
    <w:rsid w:val="00624B80"/>
    <w:rsid w:val="00633E3C"/>
    <w:rsid w:val="00634768"/>
    <w:rsid w:val="0063596F"/>
    <w:rsid w:val="006709EB"/>
    <w:rsid w:val="00672824"/>
    <w:rsid w:val="006815EC"/>
    <w:rsid w:val="0068184A"/>
    <w:rsid w:val="006A0CCE"/>
    <w:rsid w:val="006B5C51"/>
    <w:rsid w:val="006C570E"/>
    <w:rsid w:val="006C7F30"/>
    <w:rsid w:val="006E6FDD"/>
    <w:rsid w:val="006F4B7F"/>
    <w:rsid w:val="006F760B"/>
    <w:rsid w:val="006F7B2F"/>
    <w:rsid w:val="00701CC3"/>
    <w:rsid w:val="00703BE2"/>
    <w:rsid w:val="00721D8B"/>
    <w:rsid w:val="00724801"/>
    <w:rsid w:val="00734949"/>
    <w:rsid w:val="00736AEC"/>
    <w:rsid w:val="00736E0F"/>
    <w:rsid w:val="007434FA"/>
    <w:rsid w:val="007469BC"/>
    <w:rsid w:val="007573F0"/>
    <w:rsid w:val="00765156"/>
    <w:rsid w:val="00767669"/>
    <w:rsid w:val="00773485"/>
    <w:rsid w:val="00776AD5"/>
    <w:rsid w:val="00776E8F"/>
    <w:rsid w:val="00776F6D"/>
    <w:rsid w:val="00780334"/>
    <w:rsid w:val="007940AD"/>
    <w:rsid w:val="00794646"/>
    <w:rsid w:val="007C0297"/>
    <w:rsid w:val="007C1887"/>
    <w:rsid w:val="007D05D3"/>
    <w:rsid w:val="007D4775"/>
    <w:rsid w:val="007D5DC6"/>
    <w:rsid w:val="007D78B1"/>
    <w:rsid w:val="007E37A5"/>
    <w:rsid w:val="007E5BF5"/>
    <w:rsid w:val="007F49D8"/>
    <w:rsid w:val="008015A2"/>
    <w:rsid w:val="00805940"/>
    <w:rsid w:val="0081253B"/>
    <w:rsid w:val="00812E5F"/>
    <w:rsid w:val="00837121"/>
    <w:rsid w:val="008471E5"/>
    <w:rsid w:val="00850C35"/>
    <w:rsid w:val="00851466"/>
    <w:rsid w:val="00863E43"/>
    <w:rsid w:val="008647C3"/>
    <w:rsid w:val="008659ED"/>
    <w:rsid w:val="00870987"/>
    <w:rsid w:val="0087564A"/>
    <w:rsid w:val="00877880"/>
    <w:rsid w:val="00880AD9"/>
    <w:rsid w:val="00881160"/>
    <w:rsid w:val="0088371C"/>
    <w:rsid w:val="00886983"/>
    <w:rsid w:val="008A0904"/>
    <w:rsid w:val="008A45F3"/>
    <w:rsid w:val="008B51D9"/>
    <w:rsid w:val="008B652E"/>
    <w:rsid w:val="008E1E82"/>
    <w:rsid w:val="008F1DC6"/>
    <w:rsid w:val="00905C5B"/>
    <w:rsid w:val="00906291"/>
    <w:rsid w:val="0090681A"/>
    <w:rsid w:val="00923295"/>
    <w:rsid w:val="00925F11"/>
    <w:rsid w:val="00935265"/>
    <w:rsid w:val="00936A48"/>
    <w:rsid w:val="00936D8A"/>
    <w:rsid w:val="0094689F"/>
    <w:rsid w:val="009477D6"/>
    <w:rsid w:val="00953ED3"/>
    <w:rsid w:val="00965FF6"/>
    <w:rsid w:val="00977B50"/>
    <w:rsid w:val="009846D6"/>
    <w:rsid w:val="0098657F"/>
    <w:rsid w:val="00990182"/>
    <w:rsid w:val="009A3236"/>
    <w:rsid w:val="009B3EEA"/>
    <w:rsid w:val="009B5A93"/>
    <w:rsid w:val="009B5BEA"/>
    <w:rsid w:val="009C291F"/>
    <w:rsid w:val="009C2D52"/>
    <w:rsid w:val="009E2813"/>
    <w:rsid w:val="009E37BD"/>
    <w:rsid w:val="009E6B86"/>
    <w:rsid w:val="009F2EA6"/>
    <w:rsid w:val="00A03301"/>
    <w:rsid w:val="00A12762"/>
    <w:rsid w:val="00A13867"/>
    <w:rsid w:val="00A26FED"/>
    <w:rsid w:val="00A37C62"/>
    <w:rsid w:val="00A421D4"/>
    <w:rsid w:val="00A44FF0"/>
    <w:rsid w:val="00A50E55"/>
    <w:rsid w:val="00A67EB1"/>
    <w:rsid w:val="00A716C6"/>
    <w:rsid w:val="00A77F12"/>
    <w:rsid w:val="00A84FD4"/>
    <w:rsid w:val="00A91A47"/>
    <w:rsid w:val="00A95D2B"/>
    <w:rsid w:val="00AA5587"/>
    <w:rsid w:val="00AC1E53"/>
    <w:rsid w:val="00AC547A"/>
    <w:rsid w:val="00AC787B"/>
    <w:rsid w:val="00AD79C8"/>
    <w:rsid w:val="00AE26F3"/>
    <w:rsid w:val="00AE6A1B"/>
    <w:rsid w:val="00AE6CE0"/>
    <w:rsid w:val="00B058A6"/>
    <w:rsid w:val="00B117D0"/>
    <w:rsid w:val="00B13998"/>
    <w:rsid w:val="00B439DD"/>
    <w:rsid w:val="00B52E0F"/>
    <w:rsid w:val="00B57AD9"/>
    <w:rsid w:val="00B74629"/>
    <w:rsid w:val="00B80AAC"/>
    <w:rsid w:val="00B91F58"/>
    <w:rsid w:val="00BA39E5"/>
    <w:rsid w:val="00BA579E"/>
    <w:rsid w:val="00BB2F8B"/>
    <w:rsid w:val="00BD1CF7"/>
    <w:rsid w:val="00BE2295"/>
    <w:rsid w:val="00BE6373"/>
    <w:rsid w:val="00BF533A"/>
    <w:rsid w:val="00C00376"/>
    <w:rsid w:val="00C128FE"/>
    <w:rsid w:val="00C131DA"/>
    <w:rsid w:val="00C14ECA"/>
    <w:rsid w:val="00C33806"/>
    <w:rsid w:val="00C46677"/>
    <w:rsid w:val="00C5180E"/>
    <w:rsid w:val="00C54E40"/>
    <w:rsid w:val="00C55F56"/>
    <w:rsid w:val="00C57BA4"/>
    <w:rsid w:val="00C613EB"/>
    <w:rsid w:val="00C8405F"/>
    <w:rsid w:val="00C84623"/>
    <w:rsid w:val="00CB06C9"/>
    <w:rsid w:val="00CB1E41"/>
    <w:rsid w:val="00CB271C"/>
    <w:rsid w:val="00CE0235"/>
    <w:rsid w:val="00CE4F96"/>
    <w:rsid w:val="00CF03C5"/>
    <w:rsid w:val="00CF0AB1"/>
    <w:rsid w:val="00CF4B9B"/>
    <w:rsid w:val="00CF55E6"/>
    <w:rsid w:val="00CF772F"/>
    <w:rsid w:val="00D048DB"/>
    <w:rsid w:val="00D14F0B"/>
    <w:rsid w:val="00D178CA"/>
    <w:rsid w:val="00D3311C"/>
    <w:rsid w:val="00D53405"/>
    <w:rsid w:val="00D5457B"/>
    <w:rsid w:val="00D54A50"/>
    <w:rsid w:val="00D72995"/>
    <w:rsid w:val="00DA5C89"/>
    <w:rsid w:val="00DA7FA2"/>
    <w:rsid w:val="00DB2A8B"/>
    <w:rsid w:val="00DB5102"/>
    <w:rsid w:val="00DC2D8D"/>
    <w:rsid w:val="00DE09B5"/>
    <w:rsid w:val="00DE1F5D"/>
    <w:rsid w:val="00DE50D8"/>
    <w:rsid w:val="00DE7406"/>
    <w:rsid w:val="00DF278A"/>
    <w:rsid w:val="00E05D28"/>
    <w:rsid w:val="00E1017F"/>
    <w:rsid w:val="00E10C25"/>
    <w:rsid w:val="00E1664B"/>
    <w:rsid w:val="00E309C9"/>
    <w:rsid w:val="00E30D12"/>
    <w:rsid w:val="00E3394E"/>
    <w:rsid w:val="00E35241"/>
    <w:rsid w:val="00E41417"/>
    <w:rsid w:val="00E4153F"/>
    <w:rsid w:val="00E52AB5"/>
    <w:rsid w:val="00E536D3"/>
    <w:rsid w:val="00E57BE2"/>
    <w:rsid w:val="00E62A95"/>
    <w:rsid w:val="00E746A2"/>
    <w:rsid w:val="00E76BA8"/>
    <w:rsid w:val="00E85D48"/>
    <w:rsid w:val="00E90D06"/>
    <w:rsid w:val="00E97E59"/>
    <w:rsid w:val="00EA130E"/>
    <w:rsid w:val="00EA2792"/>
    <w:rsid w:val="00EA79C9"/>
    <w:rsid w:val="00EB66AC"/>
    <w:rsid w:val="00EC12B5"/>
    <w:rsid w:val="00EC2247"/>
    <w:rsid w:val="00ED5721"/>
    <w:rsid w:val="00EE1F87"/>
    <w:rsid w:val="00EE3931"/>
    <w:rsid w:val="00EE5AF6"/>
    <w:rsid w:val="00EF2CEF"/>
    <w:rsid w:val="00EF5CC7"/>
    <w:rsid w:val="00F1092D"/>
    <w:rsid w:val="00F42C20"/>
    <w:rsid w:val="00F431D8"/>
    <w:rsid w:val="00F4369D"/>
    <w:rsid w:val="00F62E27"/>
    <w:rsid w:val="00F67706"/>
    <w:rsid w:val="00F81DFF"/>
    <w:rsid w:val="00F8471A"/>
    <w:rsid w:val="00F86EFC"/>
    <w:rsid w:val="00F92D75"/>
    <w:rsid w:val="00F97327"/>
    <w:rsid w:val="00FA296F"/>
    <w:rsid w:val="00FA7323"/>
    <w:rsid w:val="00FC05A0"/>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13D845"/>
  <w15:docId w15:val="{FF3D6E29-1056-4F13-9964-B3824723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00281D"/>
    <w:pPr>
      <w:autoSpaceDE w:val="0"/>
      <w:autoSpaceDN w:val="0"/>
      <w:adjustRightInd w:val="0"/>
      <w:ind w:left="0" w:firstLine="0"/>
    </w:pPr>
    <w:rPr>
      <w:rFonts w:ascii="Calibri" w:hAnsi="Calibri" w:cs="Calibri"/>
      <w:color w:val="000000"/>
      <w:sz w:val="24"/>
      <w:szCs w:val="24"/>
    </w:rPr>
  </w:style>
  <w:style w:type="character" w:styleId="HTMLCite">
    <w:name w:val="HTML Cite"/>
    <w:basedOn w:val="DefaultParagraphFont"/>
    <w:uiPriority w:val="99"/>
    <w:semiHidden/>
    <w:unhideWhenUsed/>
    <w:rsid w:val="001C346C"/>
    <w:rPr>
      <w:i/>
      <w:iCs/>
    </w:rPr>
  </w:style>
  <w:style w:type="character" w:customStyle="1" w:styleId="cit-title6">
    <w:name w:val="cit-title6"/>
    <w:basedOn w:val="DefaultParagraphFont"/>
    <w:rsid w:val="001C346C"/>
  </w:style>
  <w:style w:type="character" w:customStyle="1" w:styleId="cit-print-date2">
    <w:name w:val="cit-print-date2"/>
    <w:basedOn w:val="DefaultParagraphFont"/>
    <w:rsid w:val="001C346C"/>
  </w:style>
  <w:style w:type="character" w:customStyle="1" w:styleId="cit-vol2">
    <w:name w:val="cit-vol2"/>
    <w:basedOn w:val="DefaultParagraphFont"/>
    <w:rsid w:val="001C346C"/>
  </w:style>
  <w:style w:type="character" w:customStyle="1" w:styleId="cit-sep2">
    <w:name w:val="cit-sep2"/>
    <w:basedOn w:val="DefaultParagraphFont"/>
    <w:rsid w:val="001C346C"/>
  </w:style>
  <w:style w:type="character" w:customStyle="1" w:styleId="cit-first-page">
    <w:name w:val="cit-first-page"/>
    <w:basedOn w:val="DefaultParagraphFont"/>
    <w:rsid w:val="001C346C"/>
  </w:style>
  <w:style w:type="character" w:customStyle="1" w:styleId="cit-last-page2">
    <w:name w:val="cit-last-page2"/>
    <w:basedOn w:val="DefaultParagraphFont"/>
    <w:rsid w:val="001C346C"/>
  </w:style>
  <w:style w:type="character" w:customStyle="1" w:styleId="cit-ahead-of-print-date">
    <w:name w:val="cit-ahead-of-print-date"/>
    <w:basedOn w:val="DefaultParagraphFont"/>
    <w:rsid w:val="001C3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10577">
      <w:bodyDiv w:val="1"/>
      <w:marLeft w:val="0"/>
      <w:marRight w:val="0"/>
      <w:marTop w:val="0"/>
      <w:marBottom w:val="0"/>
      <w:divBdr>
        <w:top w:val="none" w:sz="0" w:space="0" w:color="auto"/>
        <w:left w:val="none" w:sz="0" w:space="0" w:color="auto"/>
        <w:bottom w:val="none" w:sz="0" w:space="0" w:color="auto"/>
        <w:right w:val="none" w:sz="0" w:space="0" w:color="auto"/>
      </w:divBdr>
    </w:div>
    <w:div w:id="126460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microsoft.com/office/2007/relationships/diagramDrawing" Target="diagrams/drawing1.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www.ncbi.nlm.nih.gov/pubmed/?term=van%20der%20Heide%20A%5BAuthor%5D&amp;cauthor=true&amp;cauthor_uid=24651708" TargetMode="Externa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diagramColors" Target="diagrams/colors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hyperlink" Target="http://www.ncbi.nlm.nih.gov/pubmed/?term=Rietjens%20JA%5BAuthor%5D&amp;cauthor=true&amp;cauthor_uid=246517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header" Target="header1.xml"/><Relationship Id="rId10" Type="http://schemas.openxmlformats.org/officeDocument/2006/relationships/hyperlink" Target="http://www.uspreventiveservicestaskforce.org/methods.htm" TargetMode="External"/><Relationship Id="rId19" Type="http://schemas.openxmlformats.org/officeDocument/2006/relationships/hyperlink" Target="http://www.ncbi.nlm.nih.gov/pubmed/?term=Brinkman-Stoppelenburg%20A%5BAuthor%5D&amp;cauthor=true&amp;cauthor_uid=24651708" TargetMode="Externa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diagramData" Target="diagrams/data1.xml"/><Relationship Id="rId22" Type="http://schemas.openxmlformats.org/officeDocument/2006/relationships/hyperlink" Target="http://www.uptodate.com/contents/advance-care-planning-and-advance-directives" TargetMode="Externa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50E39B4-D4F0-4049-93D7-CEB2003659B3}" type="doc">
      <dgm:prSet loTypeId="urn:microsoft.com/office/officeart/2005/8/layout/hierarchy2" loCatId="hierarchy" qsTypeId="urn:microsoft.com/office/officeart/2005/8/quickstyle/simple1" qsCatId="simple" csTypeId="urn:microsoft.com/office/officeart/2005/8/colors/colorful4" csCatId="colorful" phldr="1"/>
      <dgm:spPr/>
      <dgm:t>
        <a:bodyPr/>
        <a:lstStyle/>
        <a:p>
          <a:endParaRPr lang="en-US"/>
        </a:p>
      </dgm:t>
    </dgm:pt>
    <dgm:pt modelId="{F6F9E3C3-6D3D-4EF5-B788-B811644E3647}">
      <dgm:prSet phldrT="[Text]" custT="1"/>
      <dgm:spPr/>
      <dgm:t>
        <a:bodyPr/>
        <a:lstStyle/>
        <a:p>
          <a:r>
            <a:rPr lang="en-US" sz="1100"/>
            <a:t>Better Quality of Care</a:t>
          </a:r>
        </a:p>
      </dgm:t>
    </dgm:pt>
    <dgm:pt modelId="{8724F844-CDC6-48B7-A96F-12F0B38E3778}" type="parTrans" cxnId="{97AC892F-99AD-47D2-AD40-B4665869FEA6}">
      <dgm:prSet custT="1"/>
      <dgm:spPr/>
      <dgm:t>
        <a:bodyPr/>
        <a:lstStyle/>
        <a:p>
          <a:endParaRPr lang="en-US" sz="1100"/>
        </a:p>
      </dgm:t>
    </dgm:pt>
    <dgm:pt modelId="{957A347D-327F-47A8-B3EB-17D28674ABD4}" type="sibTrans" cxnId="{97AC892F-99AD-47D2-AD40-B4665869FEA6}">
      <dgm:prSet/>
      <dgm:spPr/>
      <dgm:t>
        <a:bodyPr/>
        <a:lstStyle/>
        <a:p>
          <a:endParaRPr lang="en-US"/>
        </a:p>
      </dgm:t>
    </dgm:pt>
    <dgm:pt modelId="{AC1EECFC-31BA-4D20-A24C-FC2E17DD46FB}">
      <dgm:prSet phldrT="[Text]" custT="1"/>
      <dgm:spPr/>
      <dgm:t>
        <a:bodyPr/>
        <a:lstStyle/>
        <a:p>
          <a:r>
            <a:rPr lang="en-US" sz="1100"/>
            <a:t>Improved Staffing </a:t>
          </a:r>
        </a:p>
      </dgm:t>
    </dgm:pt>
    <dgm:pt modelId="{0E4C987B-7492-424F-B7DD-A84C024A882B}" type="parTrans" cxnId="{F95FF00A-27E8-4503-BC5F-6F56E5C37213}">
      <dgm:prSet custT="1"/>
      <dgm:spPr/>
      <dgm:t>
        <a:bodyPr/>
        <a:lstStyle/>
        <a:p>
          <a:endParaRPr lang="en-US" sz="1100"/>
        </a:p>
      </dgm:t>
    </dgm:pt>
    <dgm:pt modelId="{6DCA4CB0-94DA-4AF1-B262-5DD58F2D4736}" type="sibTrans" cxnId="{F95FF00A-27E8-4503-BC5F-6F56E5C37213}">
      <dgm:prSet/>
      <dgm:spPr/>
      <dgm:t>
        <a:bodyPr/>
        <a:lstStyle/>
        <a:p>
          <a:endParaRPr lang="en-US"/>
        </a:p>
      </dgm:t>
    </dgm:pt>
    <dgm:pt modelId="{0F21938E-D76C-4388-A650-83A6A3D0572F}">
      <dgm:prSet phldrT="[Text]" custT="1"/>
      <dgm:spPr/>
      <dgm:t>
        <a:bodyPr/>
        <a:lstStyle/>
        <a:p>
          <a:r>
            <a:rPr lang="en-US" sz="1100"/>
            <a:t>24 Hour RN Presence </a:t>
          </a:r>
        </a:p>
      </dgm:t>
    </dgm:pt>
    <dgm:pt modelId="{F2F884C8-45E6-416D-8033-23B5B31BF98B}" type="parTrans" cxnId="{4FF59E32-0D43-4990-95EA-51270F35B20D}">
      <dgm:prSet custT="1"/>
      <dgm:spPr/>
      <dgm:t>
        <a:bodyPr/>
        <a:lstStyle/>
        <a:p>
          <a:endParaRPr lang="en-US" sz="1100"/>
        </a:p>
      </dgm:t>
    </dgm:pt>
    <dgm:pt modelId="{09AE4C26-04AC-4746-B37E-06CABEFBB16E}" type="sibTrans" cxnId="{4FF59E32-0D43-4990-95EA-51270F35B20D}">
      <dgm:prSet/>
      <dgm:spPr/>
      <dgm:t>
        <a:bodyPr/>
        <a:lstStyle/>
        <a:p>
          <a:endParaRPr lang="en-US"/>
        </a:p>
      </dgm:t>
    </dgm:pt>
    <dgm:pt modelId="{C6B41683-9AFC-43AD-A899-679D9514962D}">
      <dgm:prSet phldrT="[Text]" custT="1"/>
      <dgm:spPr/>
      <dgm:t>
        <a:bodyPr/>
        <a:lstStyle/>
        <a:p>
          <a:r>
            <a:rPr lang="en-US" sz="1100"/>
            <a:t>Nurse Practitioner on Site </a:t>
          </a:r>
        </a:p>
      </dgm:t>
    </dgm:pt>
    <dgm:pt modelId="{6043C5CD-7023-4B1D-84E3-6E286EA25978}" type="parTrans" cxnId="{EB6EC2E4-69F9-4908-AC3C-EA2827A97D72}">
      <dgm:prSet custT="1"/>
      <dgm:spPr/>
      <dgm:t>
        <a:bodyPr/>
        <a:lstStyle/>
        <a:p>
          <a:endParaRPr lang="en-US" sz="1100"/>
        </a:p>
      </dgm:t>
    </dgm:pt>
    <dgm:pt modelId="{2980DD79-08B1-453E-98BD-FA128100E7A4}" type="sibTrans" cxnId="{EB6EC2E4-69F9-4908-AC3C-EA2827A97D72}">
      <dgm:prSet/>
      <dgm:spPr/>
      <dgm:t>
        <a:bodyPr/>
        <a:lstStyle/>
        <a:p>
          <a:endParaRPr lang="en-US"/>
        </a:p>
      </dgm:t>
    </dgm:pt>
    <dgm:pt modelId="{E43DE651-B8C6-498F-BD38-74CF55955178}">
      <dgm:prSet phldrT="[Text]" custT="1"/>
      <dgm:spPr/>
      <dgm:t>
        <a:bodyPr/>
        <a:lstStyle/>
        <a:p>
          <a:r>
            <a:rPr lang="en-US" sz="1100"/>
            <a:t>Improved Communication </a:t>
          </a:r>
        </a:p>
      </dgm:t>
    </dgm:pt>
    <dgm:pt modelId="{AEE22700-C565-4CDE-8EFC-FAA28E61C6D6}" type="parTrans" cxnId="{EE451B6F-E3D9-4CB0-BEF0-BD4758B64354}">
      <dgm:prSet custT="1"/>
      <dgm:spPr/>
      <dgm:t>
        <a:bodyPr/>
        <a:lstStyle/>
        <a:p>
          <a:endParaRPr lang="en-US" sz="1100"/>
        </a:p>
      </dgm:t>
    </dgm:pt>
    <dgm:pt modelId="{3B5E4CCE-9AB6-45D2-AEED-66D6EDCFB5D1}" type="sibTrans" cxnId="{EE451B6F-E3D9-4CB0-BEF0-BD4758B64354}">
      <dgm:prSet/>
      <dgm:spPr/>
      <dgm:t>
        <a:bodyPr/>
        <a:lstStyle/>
        <a:p>
          <a:endParaRPr lang="en-US"/>
        </a:p>
      </dgm:t>
    </dgm:pt>
    <dgm:pt modelId="{256EA839-8A08-40ED-85C8-2D789AD83A1E}">
      <dgm:prSet phldrT="[Text]" custT="1"/>
      <dgm:spPr/>
      <dgm:t>
        <a:bodyPr/>
        <a:lstStyle/>
        <a:p>
          <a:r>
            <a:rPr lang="en-US" sz="1100"/>
            <a:t>End of Life Preferences Assessed and Honored </a:t>
          </a:r>
        </a:p>
      </dgm:t>
    </dgm:pt>
    <dgm:pt modelId="{B559AD4C-CEB5-4917-A4EE-4521E9CF5D44}" type="parTrans" cxnId="{FEF8408C-CB80-42DF-BAA2-AEBBA8208E0C}">
      <dgm:prSet custT="1"/>
      <dgm:spPr/>
      <dgm:t>
        <a:bodyPr/>
        <a:lstStyle/>
        <a:p>
          <a:endParaRPr lang="en-US" sz="1100"/>
        </a:p>
      </dgm:t>
    </dgm:pt>
    <dgm:pt modelId="{D671FCC7-38D5-46B4-B2E5-8A81B309B0D3}" type="sibTrans" cxnId="{FEF8408C-CB80-42DF-BAA2-AEBBA8208E0C}">
      <dgm:prSet/>
      <dgm:spPr/>
      <dgm:t>
        <a:bodyPr/>
        <a:lstStyle/>
        <a:p>
          <a:endParaRPr lang="en-US"/>
        </a:p>
      </dgm:t>
    </dgm:pt>
    <dgm:pt modelId="{A97E2C94-C3D1-4279-A012-6748D1896F25}">
      <dgm:prSet custT="1"/>
      <dgm:spPr/>
      <dgm:t>
        <a:bodyPr/>
        <a:lstStyle/>
        <a:p>
          <a:r>
            <a:rPr lang="en-US" sz="1100"/>
            <a:t>Improved Disease Management </a:t>
          </a:r>
        </a:p>
      </dgm:t>
    </dgm:pt>
    <dgm:pt modelId="{9545A2B3-8BB4-45D9-B3BB-9B7903294BE7}" type="parTrans" cxnId="{D17420E3-0628-47D7-B5EE-245EC0EC6DCF}">
      <dgm:prSet custT="1"/>
      <dgm:spPr/>
      <dgm:t>
        <a:bodyPr/>
        <a:lstStyle/>
        <a:p>
          <a:endParaRPr lang="en-US" sz="1100"/>
        </a:p>
      </dgm:t>
    </dgm:pt>
    <dgm:pt modelId="{9B0AC3F1-7664-48F7-B6A4-57F2F38EAC49}" type="sibTrans" cxnId="{D17420E3-0628-47D7-B5EE-245EC0EC6DCF}">
      <dgm:prSet/>
      <dgm:spPr/>
      <dgm:t>
        <a:bodyPr/>
        <a:lstStyle/>
        <a:p>
          <a:endParaRPr lang="en-US"/>
        </a:p>
      </dgm:t>
    </dgm:pt>
    <dgm:pt modelId="{1B938917-B6E9-4C1E-A562-C6F1677C7BF4}">
      <dgm:prSet custT="1"/>
      <dgm:spPr/>
      <dgm:t>
        <a:bodyPr/>
        <a:lstStyle/>
        <a:p>
          <a:r>
            <a:rPr lang="en-US" sz="1100"/>
            <a:t>Improved Physician and RN Communication </a:t>
          </a:r>
        </a:p>
      </dgm:t>
    </dgm:pt>
    <dgm:pt modelId="{D305AC18-6B4D-428A-AE35-63B7E064763C}" type="parTrans" cxnId="{602AA082-A083-47E1-B8DD-18AB7EF9A9E3}">
      <dgm:prSet custT="1"/>
      <dgm:spPr/>
      <dgm:t>
        <a:bodyPr/>
        <a:lstStyle/>
        <a:p>
          <a:endParaRPr lang="en-US" sz="1100"/>
        </a:p>
      </dgm:t>
    </dgm:pt>
    <dgm:pt modelId="{8CBB1A73-435D-4CD0-86F9-B3C30BF457A3}" type="sibTrans" cxnId="{602AA082-A083-47E1-B8DD-18AB7EF9A9E3}">
      <dgm:prSet/>
      <dgm:spPr/>
      <dgm:t>
        <a:bodyPr/>
        <a:lstStyle/>
        <a:p>
          <a:endParaRPr lang="en-US"/>
        </a:p>
      </dgm:t>
    </dgm:pt>
    <dgm:pt modelId="{3E5F3C09-017D-493F-9DAF-399C995B1883}">
      <dgm:prSet custT="1"/>
      <dgm:spPr/>
      <dgm:t>
        <a:bodyPr/>
        <a:lstStyle/>
        <a:p>
          <a:r>
            <a:rPr lang="en-US" sz="1100"/>
            <a:t>Improved Chronic Disease Management </a:t>
          </a:r>
        </a:p>
      </dgm:t>
    </dgm:pt>
    <dgm:pt modelId="{6DF7B255-56F6-4931-929A-47E782E4F510}" type="parTrans" cxnId="{C12EAB2D-2FBF-4EBD-B823-9E5C34E227B8}">
      <dgm:prSet custT="1"/>
      <dgm:spPr/>
      <dgm:t>
        <a:bodyPr/>
        <a:lstStyle/>
        <a:p>
          <a:endParaRPr lang="en-US" sz="1100"/>
        </a:p>
      </dgm:t>
    </dgm:pt>
    <dgm:pt modelId="{98852BB3-CBD7-491B-8C0D-F52C908DEE29}" type="sibTrans" cxnId="{C12EAB2D-2FBF-4EBD-B823-9E5C34E227B8}">
      <dgm:prSet/>
      <dgm:spPr/>
      <dgm:t>
        <a:bodyPr/>
        <a:lstStyle/>
        <a:p>
          <a:endParaRPr lang="en-US"/>
        </a:p>
      </dgm:t>
    </dgm:pt>
    <dgm:pt modelId="{CADEB019-A60E-48AB-96AE-890209E75A4E}">
      <dgm:prSet custT="1"/>
      <dgm:spPr/>
      <dgm:t>
        <a:bodyPr/>
        <a:lstStyle/>
        <a:p>
          <a:r>
            <a:rPr lang="en-US" sz="1100"/>
            <a:t>Early Detection of Signs and Symptoms of Infection </a:t>
          </a:r>
        </a:p>
      </dgm:t>
    </dgm:pt>
    <dgm:pt modelId="{A87F543E-9E9D-49FF-A22E-DDB85B41A565}" type="parTrans" cxnId="{B10BDF4D-DA2D-4658-AAF3-1B88AE12C555}">
      <dgm:prSet custT="1"/>
      <dgm:spPr/>
      <dgm:t>
        <a:bodyPr/>
        <a:lstStyle/>
        <a:p>
          <a:endParaRPr lang="en-US" sz="1100"/>
        </a:p>
      </dgm:t>
    </dgm:pt>
    <dgm:pt modelId="{B3EC674C-35DA-4416-BE54-956E6764349B}" type="sibTrans" cxnId="{B10BDF4D-DA2D-4658-AAF3-1B88AE12C555}">
      <dgm:prSet/>
      <dgm:spPr/>
      <dgm:t>
        <a:bodyPr/>
        <a:lstStyle/>
        <a:p>
          <a:endParaRPr lang="en-US"/>
        </a:p>
      </dgm:t>
    </dgm:pt>
    <dgm:pt modelId="{1409A09B-C021-4AEB-AD86-293863B3DEF6}">
      <dgm:prSet custT="1"/>
      <dgm:spPr/>
      <dgm:t>
        <a:bodyPr/>
        <a:lstStyle/>
        <a:p>
          <a:r>
            <a:rPr lang="en-US" sz="1100"/>
            <a:t>Functional Status </a:t>
          </a:r>
        </a:p>
      </dgm:t>
    </dgm:pt>
    <dgm:pt modelId="{755E1E2C-AE88-444E-892F-7B8F63725AC1}" type="parTrans" cxnId="{499638B1-C5D2-47A5-A018-A4D5AFD5C0A5}">
      <dgm:prSet custT="1"/>
      <dgm:spPr/>
      <dgm:t>
        <a:bodyPr/>
        <a:lstStyle/>
        <a:p>
          <a:endParaRPr lang="en-US" sz="1100"/>
        </a:p>
      </dgm:t>
    </dgm:pt>
    <dgm:pt modelId="{FC7E68DE-9295-4B70-9029-5448A834BB41}" type="sibTrans" cxnId="{499638B1-C5D2-47A5-A018-A4D5AFD5C0A5}">
      <dgm:prSet/>
      <dgm:spPr/>
      <dgm:t>
        <a:bodyPr/>
        <a:lstStyle/>
        <a:p>
          <a:endParaRPr lang="en-US"/>
        </a:p>
      </dgm:t>
    </dgm:pt>
    <dgm:pt modelId="{ABEB9BB0-E7FC-43A6-85DB-DB3D3B9333D1}">
      <dgm:prSet custT="1"/>
      <dgm:spPr/>
      <dgm:t>
        <a:bodyPr/>
        <a:lstStyle/>
        <a:p>
          <a:r>
            <a:rPr lang="en-US" sz="1100"/>
            <a:t>Use of Antipsychotics </a:t>
          </a:r>
        </a:p>
      </dgm:t>
    </dgm:pt>
    <dgm:pt modelId="{1F4489DC-5C80-45A9-BDF9-C1C9AD22057F}" type="parTrans" cxnId="{19B720FA-93AE-43A7-96AB-D1DCA60A3B23}">
      <dgm:prSet custT="1"/>
      <dgm:spPr/>
      <dgm:t>
        <a:bodyPr/>
        <a:lstStyle/>
        <a:p>
          <a:endParaRPr lang="en-US" sz="1100"/>
        </a:p>
      </dgm:t>
    </dgm:pt>
    <dgm:pt modelId="{7029872A-9963-4411-9405-22D901CFDCC1}" type="sibTrans" cxnId="{19B720FA-93AE-43A7-96AB-D1DCA60A3B23}">
      <dgm:prSet/>
      <dgm:spPr/>
      <dgm:t>
        <a:bodyPr/>
        <a:lstStyle/>
        <a:p>
          <a:endParaRPr lang="en-US"/>
        </a:p>
      </dgm:t>
    </dgm:pt>
    <dgm:pt modelId="{0B44A9D3-7B82-4F31-97FD-42735E91EB52}">
      <dgm:prSet custT="1"/>
      <dgm:spPr/>
      <dgm:t>
        <a:bodyPr/>
        <a:lstStyle/>
        <a:p>
          <a:r>
            <a:rPr lang="en-US" sz="1100"/>
            <a:t>Reduced Hospitalizations</a:t>
          </a:r>
        </a:p>
      </dgm:t>
    </dgm:pt>
    <dgm:pt modelId="{442010AF-BE07-4547-94DF-96875FFD5F47}" type="parTrans" cxnId="{422BA7CA-7F28-42A1-A294-F34391B6C49A}">
      <dgm:prSet/>
      <dgm:spPr/>
      <dgm:t>
        <a:bodyPr/>
        <a:lstStyle/>
        <a:p>
          <a:endParaRPr lang="en-US"/>
        </a:p>
      </dgm:t>
    </dgm:pt>
    <dgm:pt modelId="{677ED892-20AD-45D6-AA8E-DFE5225DAE05}" type="sibTrans" cxnId="{422BA7CA-7F28-42A1-A294-F34391B6C49A}">
      <dgm:prSet/>
      <dgm:spPr/>
      <dgm:t>
        <a:bodyPr/>
        <a:lstStyle/>
        <a:p>
          <a:endParaRPr lang="en-US"/>
        </a:p>
      </dgm:t>
    </dgm:pt>
    <dgm:pt modelId="{D1EFB373-98A1-4E08-AF18-AB57289CC739}">
      <dgm:prSet custT="1"/>
      <dgm:spPr/>
      <dgm:t>
        <a:bodyPr/>
        <a:lstStyle/>
        <a:p>
          <a:r>
            <a:rPr lang="en-US" sz="1100"/>
            <a:t>Availablity of Lab Results </a:t>
          </a:r>
        </a:p>
      </dgm:t>
    </dgm:pt>
    <dgm:pt modelId="{7D76CDFE-342B-48F0-A278-0E9556EC4F27}" type="parTrans" cxnId="{756EB9A4-CD95-44AA-A310-2C36CD57EE56}">
      <dgm:prSet custT="1"/>
      <dgm:spPr/>
      <dgm:t>
        <a:bodyPr/>
        <a:lstStyle/>
        <a:p>
          <a:endParaRPr lang="en-US" sz="1100"/>
        </a:p>
      </dgm:t>
    </dgm:pt>
    <dgm:pt modelId="{B00BA7AA-8647-44A9-B3C9-213BF11A5B90}" type="sibTrans" cxnId="{756EB9A4-CD95-44AA-A310-2C36CD57EE56}">
      <dgm:prSet/>
      <dgm:spPr/>
      <dgm:t>
        <a:bodyPr/>
        <a:lstStyle/>
        <a:p>
          <a:endParaRPr lang="en-US"/>
        </a:p>
      </dgm:t>
    </dgm:pt>
    <dgm:pt modelId="{A03BAAC9-6A99-426B-8544-B737FE20473E}" type="pres">
      <dgm:prSet presAssocID="{350E39B4-D4F0-4049-93D7-CEB2003659B3}" presName="diagram" presStyleCnt="0">
        <dgm:presLayoutVars>
          <dgm:chPref val="1"/>
          <dgm:dir val="rev"/>
          <dgm:animOne val="branch"/>
          <dgm:animLvl val="lvl"/>
          <dgm:resizeHandles val="exact"/>
        </dgm:presLayoutVars>
      </dgm:prSet>
      <dgm:spPr/>
    </dgm:pt>
    <dgm:pt modelId="{5301D075-94B2-4C1E-9FE9-818F7A142AA4}" type="pres">
      <dgm:prSet presAssocID="{0B44A9D3-7B82-4F31-97FD-42735E91EB52}" presName="root1" presStyleCnt="0"/>
      <dgm:spPr/>
    </dgm:pt>
    <dgm:pt modelId="{C5AB5201-88EB-4D56-B2A7-F47D42F22C0E}" type="pres">
      <dgm:prSet presAssocID="{0B44A9D3-7B82-4F31-97FD-42735E91EB52}" presName="LevelOneTextNode" presStyleLbl="node0" presStyleIdx="0" presStyleCnt="1">
        <dgm:presLayoutVars>
          <dgm:chPref val="3"/>
        </dgm:presLayoutVars>
      </dgm:prSet>
      <dgm:spPr/>
    </dgm:pt>
    <dgm:pt modelId="{4DC5C278-A3EA-4F9C-9B52-61ECBE40402D}" type="pres">
      <dgm:prSet presAssocID="{0B44A9D3-7B82-4F31-97FD-42735E91EB52}" presName="level2hierChild" presStyleCnt="0"/>
      <dgm:spPr/>
    </dgm:pt>
    <dgm:pt modelId="{7780C80A-6B30-4C14-8A84-D6EE2D7CE7AB}" type="pres">
      <dgm:prSet presAssocID="{8724F844-CDC6-48B7-A96F-12F0B38E3778}" presName="conn2-1" presStyleLbl="parChTrans1D2" presStyleIdx="0" presStyleCnt="1"/>
      <dgm:spPr/>
    </dgm:pt>
    <dgm:pt modelId="{065AC2C7-817C-4F32-BB3B-988AC3AA9A00}" type="pres">
      <dgm:prSet presAssocID="{8724F844-CDC6-48B7-A96F-12F0B38E3778}" presName="connTx" presStyleLbl="parChTrans1D2" presStyleIdx="0" presStyleCnt="1"/>
      <dgm:spPr/>
    </dgm:pt>
    <dgm:pt modelId="{015BA4FD-81FB-4562-9D9A-5DCC1BF8DB0F}" type="pres">
      <dgm:prSet presAssocID="{F6F9E3C3-6D3D-4EF5-B788-B811644E3647}" presName="root2" presStyleCnt="0"/>
      <dgm:spPr/>
    </dgm:pt>
    <dgm:pt modelId="{2B2DE534-851C-4DF6-8055-F92D95392E23}" type="pres">
      <dgm:prSet presAssocID="{F6F9E3C3-6D3D-4EF5-B788-B811644E3647}" presName="LevelTwoTextNode" presStyleLbl="node2" presStyleIdx="0" presStyleCnt="1">
        <dgm:presLayoutVars>
          <dgm:chPref val="3"/>
        </dgm:presLayoutVars>
      </dgm:prSet>
      <dgm:spPr/>
    </dgm:pt>
    <dgm:pt modelId="{9D6698CD-0F85-4FBD-A6B8-D28D6D792FEC}" type="pres">
      <dgm:prSet presAssocID="{F6F9E3C3-6D3D-4EF5-B788-B811644E3647}" presName="level3hierChild" presStyleCnt="0"/>
      <dgm:spPr/>
    </dgm:pt>
    <dgm:pt modelId="{E783ED3D-240D-4C6F-976D-9DB37C494764}" type="pres">
      <dgm:prSet presAssocID="{0E4C987B-7492-424F-B7DD-A84C024A882B}" presName="conn2-1" presStyleLbl="parChTrans1D3" presStyleIdx="0" presStyleCnt="3"/>
      <dgm:spPr/>
    </dgm:pt>
    <dgm:pt modelId="{B1864C6F-E5EF-4006-8F57-29CA0ACDE8D5}" type="pres">
      <dgm:prSet presAssocID="{0E4C987B-7492-424F-B7DD-A84C024A882B}" presName="connTx" presStyleLbl="parChTrans1D3" presStyleIdx="0" presStyleCnt="3"/>
      <dgm:spPr/>
    </dgm:pt>
    <dgm:pt modelId="{797DA38F-A497-498E-A4C1-851EF3E88014}" type="pres">
      <dgm:prSet presAssocID="{AC1EECFC-31BA-4D20-A24C-FC2E17DD46FB}" presName="root2" presStyleCnt="0"/>
      <dgm:spPr/>
    </dgm:pt>
    <dgm:pt modelId="{0CE6F5C1-F34B-48C7-9004-96CB1DBB3322}" type="pres">
      <dgm:prSet presAssocID="{AC1EECFC-31BA-4D20-A24C-FC2E17DD46FB}" presName="LevelTwoTextNode" presStyleLbl="node3" presStyleIdx="0" presStyleCnt="3">
        <dgm:presLayoutVars>
          <dgm:chPref val="3"/>
        </dgm:presLayoutVars>
      </dgm:prSet>
      <dgm:spPr/>
    </dgm:pt>
    <dgm:pt modelId="{A8613FF9-E064-4BFC-A68F-9C63C538D239}" type="pres">
      <dgm:prSet presAssocID="{AC1EECFC-31BA-4D20-A24C-FC2E17DD46FB}" presName="level3hierChild" presStyleCnt="0"/>
      <dgm:spPr/>
    </dgm:pt>
    <dgm:pt modelId="{140F75B4-372E-4DF6-8BF0-36F5D23E16B5}" type="pres">
      <dgm:prSet presAssocID="{F2F884C8-45E6-416D-8033-23B5B31BF98B}" presName="conn2-1" presStyleLbl="parChTrans1D4" presStyleIdx="0" presStyleCnt="9"/>
      <dgm:spPr/>
    </dgm:pt>
    <dgm:pt modelId="{ACD2AF35-55FB-4BB5-B6F9-E813B9DF1A14}" type="pres">
      <dgm:prSet presAssocID="{F2F884C8-45E6-416D-8033-23B5B31BF98B}" presName="connTx" presStyleLbl="parChTrans1D4" presStyleIdx="0" presStyleCnt="9"/>
      <dgm:spPr/>
    </dgm:pt>
    <dgm:pt modelId="{BFFEF5BA-F14C-48FA-88D5-0654AC2B2E32}" type="pres">
      <dgm:prSet presAssocID="{0F21938E-D76C-4388-A650-83A6A3D0572F}" presName="root2" presStyleCnt="0"/>
      <dgm:spPr/>
    </dgm:pt>
    <dgm:pt modelId="{D7CC15D9-924A-478F-8AF7-7B2EBE7BA7F6}" type="pres">
      <dgm:prSet presAssocID="{0F21938E-D76C-4388-A650-83A6A3D0572F}" presName="LevelTwoTextNode" presStyleLbl="node4" presStyleIdx="0" presStyleCnt="9">
        <dgm:presLayoutVars>
          <dgm:chPref val="3"/>
        </dgm:presLayoutVars>
      </dgm:prSet>
      <dgm:spPr/>
    </dgm:pt>
    <dgm:pt modelId="{837E9254-54A9-4B12-840F-4B789EF7ABE3}" type="pres">
      <dgm:prSet presAssocID="{0F21938E-D76C-4388-A650-83A6A3D0572F}" presName="level3hierChild" presStyleCnt="0"/>
      <dgm:spPr/>
    </dgm:pt>
    <dgm:pt modelId="{9845EA74-0B6B-4CCE-A601-7E52DF31F951}" type="pres">
      <dgm:prSet presAssocID="{6043C5CD-7023-4B1D-84E3-6E286EA25978}" presName="conn2-1" presStyleLbl="parChTrans1D4" presStyleIdx="1" presStyleCnt="9"/>
      <dgm:spPr/>
    </dgm:pt>
    <dgm:pt modelId="{C0FAE5B9-5575-45B9-B742-AFC6EBCF9910}" type="pres">
      <dgm:prSet presAssocID="{6043C5CD-7023-4B1D-84E3-6E286EA25978}" presName="connTx" presStyleLbl="parChTrans1D4" presStyleIdx="1" presStyleCnt="9"/>
      <dgm:spPr/>
    </dgm:pt>
    <dgm:pt modelId="{67A5C755-7C38-49EB-97A7-CC78F6CFC8F8}" type="pres">
      <dgm:prSet presAssocID="{C6B41683-9AFC-43AD-A899-679D9514962D}" presName="root2" presStyleCnt="0"/>
      <dgm:spPr/>
    </dgm:pt>
    <dgm:pt modelId="{52D038FA-4859-4270-9E7A-AD5EDE9E9A5B}" type="pres">
      <dgm:prSet presAssocID="{C6B41683-9AFC-43AD-A899-679D9514962D}" presName="LevelTwoTextNode" presStyleLbl="node4" presStyleIdx="1" presStyleCnt="9">
        <dgm:presLayoutVars>
          <dgm:chPref val="3"/>
        </dgm:presLayoutVars>
      </dgm:prSet>
      <dgm:spPr/>
    </dgm:pt>
    <dgm:pt modelId="{7B722A4D-227F-4D51-8851-51726E6C8786}" type="pres">
      <dgm:prSet presAssocID="{C6B41683-9AFC-43AD-A899-679D9514962D}" presName="level3hierChild" presStyleCnt="0"/>
      <dgm:spPr/>
    </dgm:pt>
    <dgm:pt modelId="{E5AE97E1-F5D3-4EDA-A979-BC0D13733702}" type="pres">
      <dgm:prSet presAssocID="{AEE22700-C565-4CDE-8EFC-FAA28E61C6D6}" presName="conn2-1" presStyleLbl="parChTrans1D3" presStyleIdx="1" presStyleCnt="3"/>
      <dgm:spPr/>
    </dgm:pt>
    <dgm:pt modelId="{FBA9674A-13AB-4ACD-8DB4-FC1DDFE12627}" type="pres">
      <dgm:prSet presAssocID="{AEE22700-C565-4CDE-8EFC-FAA28E61C6D6}" presName="connTx" presStyleLbl="parChTrans1D3" presStyleIdx="1" presStyleCnt="3"/>
      <dgm:spPr/>
    </dgm:pt>
    <dgm:pt modelId="{80E77EC0-6E33-4F65-8C0A-17620D11102F}" type="pres">
      <dgm:prSet presAssocID="{E43DE651-B8C6-498F-BD38-74CF55955178}" presName="root2" presStyleCnt="0"/>
      <dgm:spPr/>
    </dgm:pt>
    <dgm:pt modelId="{55BFF917-06C7-4F21-B991-976AD424C1A1}" type="pres">
      <dgm:prSet presAssocID="{E43DE651-B8C6-498F-BD38-74CF55955178}" presName="LevelTwoTextNode" presStyleLbl="node3" presStyleIdx="1" presStyleCnt="3" custLinFactNeighborY="5142">
        <dgm:presLayoutVars>
          <dgm:chPref val="3"/>
        </dgm:presLayoutVars>
      </dgm:prSet>
      <dgm:spPr/>
    </dgm:pt>
    <dgm:pt modelId="{D243F1E3-97FA-4A09-9510-29778AA4A23A}" type="pres">
      <dgm:prSet presAssocID="{E43DE651-B8C6-498F-BD38-74CF55955178}" presName="level3hierChild" presStyleCnt="0"/>
      <dgm:spPr/>
    </dgm:pt>
    <dgm:pt modelId="{AC216025-F703-4CC1-8208-4FEBA064485F}" type="pres">
      <dgm:prSet presAssocID="{B559AD4C-CEB5-4917-A4EE-4521E9CF5D44}" presName="conn2-1" presStyleLbl="parChTrans1D4" presStyleIdx="2" presStyleCnt="9"/>
      <dgm:spPr/>
    </dgm:pt>
    <dgm:pt modelId="{21D16ACD-07F2-45A7-A135-BCB1F56D4EEC}" type="pres">
      <dgm:prSet presAssocID="{B559AD4C-CEB5-4917-A4EE-4521E9CF5D44}" presName="connTx" presStyleLbl="parChTrans1D4" presStyleIdx="2" presStyleCnt="9"/>
      <dgm:spPr/>
    </dgm:pt>
    <dgm:pt modelId="{AE294B3A-E23F-4ED0-AD56-05AB526C93A3}" type="pres">
      <dgm:prSet presAssocID="{256EA839-8A08-40ED-85C8-2D789AD83A1E}" presName="root2" presStyleCnt="0"/>
      <dgm:spPr/>
    </dgm:pt>
    <dgm:pt modelId="{2C703A17-925A-47FA-982E-A4A7EFBE4D0A}" type="pres">
      <dgm:prSet presAssocID="{256EA839-8A08-40ED-85C8-2D789AD83A1E}" presName="LevelTwoTextNode" presStyleLbl="node4" presStyleIdx="2" presStyleCnt="9" custScaleX="152442" custScaleY="128424">
        <dgm:presLayoutVars>
          <dgm:chPref val="3"/>
        </dgm:presLayoutVars>
      </dgm:prSet>
      <dgm:spPr/>
    </dgm:pt>
    <dgm:pt modelId="{9504ADB6-ADDB-4BE6-9521-37F9EC6195FA}" type="pres">
      <dgm:prSet presAssocID="{256EA839-8A08-40ED-85C8-2D789AD83A1E}" presName="level3hierChild" presStyleCnt="0"/>
      <dgm:spPr/>
    </dgm:pt>
    <dgm:pt modelId="{B306FB30-5662-4A6C-A390-C56036193483}" type="pres">
      <dgm:prSet presAssocID="{D305AC18-6B4D-428A-AE35-63B7E064763C}" presName="conn2-1" presStyleLbl="parChTrans1D4" presStyleIdx="3" presStyleCnt="9"/>
      <dgm:spPr/>
    </dgm:pt>
    <dgm:pt modelId="{1131E226-7068-4838-A853-7FAD4DAACC21}" type="pres">
      <dgm:prSet presAssocID="{D305AC18-6B4D-428A-AE35-63B7E064763C}" presName="connTx" presStyleLbl="parChTrans1D4" presStyleIdx="3" presStyleCnt="9"/>
      <dgm:spPr/>
    </dgm:pt>
    <dgm:pt modelId="{60C66D49-14EE-4F7E-AF9C-F64D3F7EC984}" type="pres">
      <dgm:prSet presAssocID="{1B938917-B6E9-4C1E-A562-C6F1677C7BF4}" presName="root2" presStyleCnt="0"/>
      <dgm:spPr/>
    </dgm:pt>
    <dgm:pt modelId="{D56658E2-CBC9-44A5-8218-11E088D05D73}" type="pres">
      <dgm:prSet presAssocID="{1B938917-B6E9-4C1E-A562-C6F1677C7BF4}" presName="LevelTwoTextNode" presStyleLbl="node4" presStyleIdx="3" presStyleCnt="9" custScaleX="142332">
        <dgm:presLayoutVars>
          <dgm:chPref val="3"/>
        </dgm:presLayoutVars>
      </dgm:prSet>
      <dgm:spPr/>
    </dgm:pt>
    <dgm:pt modelId="{3462E925-5823-48F0-90DC-DD57B602FA28}" type="pres">
      <dgm:prSet presAssocID="{1B938917-B6E9-4C1E-A562-C6F1677C7BF4}" presName="level3hierChild" presStyleCnt="0"/>
      <dgm:spPr/>
    </dgm:pt>
    <dgm:pt modelId="{6A87E14E-B678-4959-91B7-47EA6062E0B3}" type="pres">
      <dgm:prSet presAssocID="{7D76CDFE-342B-48F0-A278-0E9556EC4F27}" presName="conn2-1" presStyleLbl="parChTrans1D4" presStyleIdx="4" presStyleCnt="9"/>
      <dgm:spPr/>
    </dgm:pt>
    <dgm:pt modelId="{AB401381-A35B-425D-961D-1C2C069B38C1}" type="pres">
      <dgm:prSet presAssocID="{7D76CDFE-342B-48F0-A278-0E9556EC4F27}" presName="connTx" presStyleLbl="parChTrans1D4" presStyleIdx="4" presStyleCnt="9"/>
      <dgm:spPr/>
    </dgm:pt>
    <dgm:pt modelId="{A095A3E4-08EA-42F4-ACD2-58D5BC515C8E}" type="pres">
      <dgm:prSet presAssocID="{D1EFB373-98A1-4E08-AF18-AB57289CC739}" presName="root2" presStyleCnt="0"/>
      <dgm:spPr/>
    </dgm:pt>
    <dgm:pt modelId="{ECCDAB5F-C839-4039-A402-64DBDC30309C}" type="pres">
      <dgm:prSet presAssocID="{D1EFB373-98A1-4E08-AF18-AB57289CC739}" presName="LevelTwoTextNode" presStyleLbl="node4" presStyleIdx="4" presStyleCnt="9">
        <dgm:presLayoutVars>
          <dgm:chPref val="3"/>
        </dgm:presLayoutVars>
      </dgm:prSet>
      <dgm:spPr/>
    </dgm:pt>
    <dgm:pt modelId="{3C7A6B10-DEA2-4BBD-9F36-83A3B9AEE81B}" type="pres">
      <dgm:prSet presAssocID="{D1EFB373-98A1-4E08-AF18-AB57289CC739}" presName="level3hierChild" presStyleCnt="0"/>
      <dgm:spPr/>
    </dgm:pt>
    <dgm:pt modelId="{3BC35BB0-0747-46EA-A572-1FFC326D8AD1}" type="pres">
      <dgm:prSet presAssocID="{9545A2B3-8BB4-45D9-B3BB-9B7903294BE7}" presName="conn2-1" presStyleLbl="parChTrans1D3" presStyleIdx="2" presStyleCnt="3"/>
      <dgm:spPr/>
    </dgm:pt>
    <dgm:pt modelId="{5804E03E-CA35-4621-9DB5-B8754A98EFFF}" type="pres">
      <dgm:prSet presAssocID="{9545A2B3-8BB4-45D9-B3BB-9B7903294BE7}" presName="connTx" presStyleLbl="parChTrans1D3" presStyleIdx="2" presStyleCnt="3"/>
      <dgm:spPr/>
    </dgm:pt>
    <dgm:pt modelId="{4A1BFE80-8016-4E4E-9F9D-CC3933C144B7}" type="pres">
      <dgm:prSet presAssocID="{A97E2C94-C3D1-4279-A012-6748D1896F25}" presName="root2" presStyleCnt="0"/>
      <dgm:spPr/>
    </dgm:pt>
    <dgm:pt modelId="{BF311934-62A2-4D69-994D-160B4C04E53D}" type="pres">
      <dgm:prSet presAssocID="{A97E2C94-C3D1-4279-A012-6748D1896F25}" presName="LevelTwoTextNode" presStyleLbl="node3" presStyleIdx="2" presStyleCnt="3">
        <dgm:presLayoutVars>
          <dgm:chPref val="3"/>
        </dgm:presLayoutVars>
      </dgm:prSet>
      <dgm:spPr/>
    </dgm:pt>
    <dgm:pt modelId="{CEF61493-B608-4D82-A5E0-260A19197E59}" type="pres">
      <dgm:prSet presAssocID="{A97E2C94-C3D1-4279-A012-6748D1896F25}" presName="level3hierChild" presStyleCnt="0"/>
      <dgm:spPr/>
    </dgm:pt>
    <dgm:pt modelId="{3CBED734-1420-487A-85CC-9E422DC7E0D2}" type="pres">
      <dgm:prSet presAssocID="{6DF7B255-56F6-4931-929A-47E782E4F510}" presName="conn2-1" presStyleLbl="parChTrans1D4" presStyleIdx="5" presStyleCnt="9"/>
      <dgm:spPr/>
    </dgm:pt>
    <dgm:pt modelId="{AD6601C9-9799-4649-A4E1-A52B415D1AD4}" type="pres">
      <dgm:prSet presAssocID="{6DF7B255-56F6-4931-929A-47E782E4F510}" presName="connTx" presStyleLbl="parChTrans1D4" presStyleIdx="5" presStyleCnt="9"/>
      <dgm:spPr/>
    </dgm:pt>
    <dgm:pt modelId="{DD133952-520B-4BFF-A996-4070621AA018}" type="pres">
      <dgm:prSet presAssocID="{3E5F3C09-017D-493F-9DAF-399C995B1883}" presName="root2" presStyleCnt="0"/>
      <dgm:spPr/>
    </dgm:pt>
    <dgm:pt modelId="{ED13FC0E-2652-4A82-BDB6-89353AC65441}" type="pres">
      <dgm:prSet presAssocID="{3E5F3C09-017D-493F-9DAF-399C995B1883}" presName="LevelTwoTextNode" presStyleLbl="node4" presStyleIdx="5" presStyleCnt="9">
        <dgm:presLayoutVars>
          <dgm:chPref val="3"/>
        </dgm:presLayoutVars>
      </dgm:prSet>
      <dgm:spPr/>
    </dgm:pt>
    <dgm:pt modelId="{7A491DC1-3D00-498D-A44D-E3199CE0492C}" type="pres">
      <dgm:prSet presAssocID="{3E5F3C09-017D-493F-9DAF-399C995B1883}" presName="level3hierChild" presStyleCnt="0"/>
      <dgm:spPr/>
    </dgm:pt>
    <dgm:pt modelId="{A154311A-069A-4768-AFC5-2394F787F650}" type="pres">
      <dgm:prSet presAssocID="{A87F543E-9E9D-49FF-A22E-DDB85B41A565}" presName="conn2-1" presStyleLbl="parChTrans1D4" presStyleIdx="6" presStyleCnt="9"/>
      <dgm:spPr/>
    </dgm:pt>
    <dgm:pt modelId="{63E2A3C4-D622-417A-92C0-BAA18DD62DE9}" type="pres">
      <dgm:prSet presAssocID="{A87F543E-9E9D-49FF-A22E-DDB85B41A565}" presName="connTx" presStyleLbl="parChTrans1D4" presStyleIdx="6" presStyleCnt="9"/>
      <dgm:spPr/>
    </dgm:pt>
    <dgm:pt modelId="{E8F7AFDD-3D45-4FB9-9415-D93B1829988B}" type="pres">
      <dgm:prSet presAssocID="{CADEB019-A60E-48AB-96AE-890209E75A4E}" presName="root2" presStyleCnt="0"/>
      <dgm:spPr/>
    </dgm:pt>
    <dgm:pt modelId="{4896B0F1-6F39-448B-92BF-B5EC4C371FEF}" type="pres">
      <dgm:prSet presAssocID="{CADEB019-A60E-48AB-96AE-890209E75A4E}" presName="LevelTwoTextNode" presStyleLbl="node4" presStyleIdx="6" presStyleCnt="9" custScaleY="127378">
        <dgm:presLayoutVars>
          <dgm:chPref val="3"/>
        </dgm:presLayoutVars>
      </dgm:prSet>
      <dgm:spPr/>
    </dgm:pt>
    <dgm:pt modelId="{9D03C8AF-B222-4841-BC92-9181EFFABEEC}" type="pres">
      <dgm:prSet presAssocID="{CADEB019-A60E-48AB-96AE-890209E75A4E}" presName="level3hierChild" presStyleCnt="0"/>
      <dgm:spPr/>
    </dgm:pt>
    <dgm:pt modelId="{D128B14A-7B0D-48A3-A2FF-3CCAE4B53368}" type="pres">
      <dgm:prSet presAssocID="{755E1E2C-AE88-444E-892F-7B8F63725AC1}" presName="conn2-1" presStyleLbl="parChTrans1D4" presStyleIdx="7" presStyleCnt="9"/>
      <dgm:spPr/>
    </dgm:pt>
    <dgm:pt modelId="{49554641-6884-48BC-877F-EEFF5CCD12B6}" type="pres">
      <dgm:prSet presAssocID="{755E1E2C-AE88-444E-892F-7B8F63725AC1}" presName="connTx" presStyleLbl="parChTrans1D4" presStyleIdx="7" presStyleCnt="9"/>
      <dgm:spPr/>
    </dgm:pt>
    <dgm:pt modelId="{F85D8EFE-4178-4A70-9F60-3C68C898A256}" type="pres">
      <dgm:prSet presAssocID="{1409A09B-C021-4AEB-AD86-293863B3DEF6}" presName="root2" presStyleCnt="0"/>
      <dgm:spPr/>
    </dgm:pt>
    <dgm:pt modelId="{51A5A684-0685-47D6-9D3B-F2D7115B5C4D}" type="pres">
      <dgm:prSet presAssocID="{1409A09B-C021-4AEB-AD86-293863B3DEF6}" presName="LevelTwoTextNode" presStyleLbl="node4" presStyleIdx="7" presStyleCnt="9" custLinFactNeighborX="-1141" custLinFactNeighborY="2282">
        <dgm:presLayoutVars>
          <dgm:chPref val="3"/>
        </dgm:presLayoutVars>
      </dgm:prSet>
      <dgm:spPr/>
    </dgm:pt>
    <dgm:pt modelId="{838A0C59-2A0B-4F31-9564-E13FC9129C5B}" type="pres">
      <dgm:prSet presAssocID="{1409A09B-C021-4AEB-AD86-293863B3DEF6}" presName="level3hierChild" presStyleCnt="0"/>
      <dgm:spPr/>
    </dgm:pt>
    <dgm:pt modelId="{5EF97E54-2FC2-42FC-85E4-8201DD810207}" type="pres">
      <dgm:prSet presAssocID="{1F4489DC-5C80-45A9-BDF9-C1C9AD22057F}" presName="conn2-1" presStyleLbl="parChTrans1D4" presStyleIdx="8" presStyleCnt="9"/>
      <dgm:spPr/>
    </dgm:pt>
    <dgm:pt modelId="{A413E7F4-9E54-4BD9-ACF9-2EE1E12D8F4C}" type="pres">
      <dgm:prSet presAssocID="{1F4489DC-5C80-45A9-BDF9-C1C9AD22057F}" presName="connTx" presStyleLbl="parChTrans1D4" presStyleIdx="8" presStyleCnt="9"/>
      <dgm:spPr/>
    </dgm:pt>
    <dgm:pt modelId="{020EED3B-51A8-4119-925C-455C9F230D25}" type="pres">
      <dgm:prSet presAssocID="{ABEB9BB0-E7FC-43A6-85DB-DB3D3B9333D1}" presName="root2" presStyleCnt="0"/>
      <dgm:spPr/>
    </dgm:pt>
    <dgm:pt modelId="{91B525EA-2C10-4BB9-B7BF-D34DF142C1FF}" type="pres">
      <dgm:prSet presAssocID="{ABEB9BB0-E7FC-43A6-85DB-DB3D3B9333D1}" presName="LevelTwoTextNode" presStyleLbl="node4" presStyleIdx="8" presStyleCnt="9">
        <dgm:presLayoutVars>
          <dgm:chPref val="3"/>
        </dgm:presLayoutVars>
      </dgm:prSet>
      <dgm:spPr/>
    </dgm:pt>
    <dgm:pt modelId="{B4EF3E70-31F7-4FD3-BAEA-B2B0093A14D2}" type="pres">
      <dgm:prSet presAssocID="{ABEB9BB0-E7FC-43A6-85DB-DB3D3B9333D1}" presName="level3hierChild" presStyleCnt="0"/>
      <dgm:spPr/>
    </dgm:pt>
  </dgm:ptLst>
  <dgm:cxnLst>
    <dgm:cxn modelId="{EC8B700E-5DCE-4A53-986D-4310FDC6579F}" type="presOf" srcId="{D305AC18-6B4D-428A-AE35-63B7E064763C}" destId="{B306FB30-5662-4A6C-A390-C56036193483}" srcOrd="0" destOrd="0" presId="urn:microsoft.com/office/officeart/2005/8/layout/hierarchy2"/>
    <dgm:cxn modelId="{4DD538B5-26EC-485F-B8FD-BD8F4C775D8A}" type="presOf" srcId="{256EA839-8A08-40ED-85C8-2D789AD83A1E}" destId="{2C703A17-925A-47FA-982E-A4A7EFBE4D0A}" srcOrd="0" destOrd="0" presId="urn:microsoft.com/office/officeart/2005/8/layout/hierarchy2"/>
    <dgm:cxn modelId="{A743F8DD-1BC1-41D3-B95A-D9A1F5A61DC3}" type="presOf" srcId="{1F4489DC-5C80-45A9-BDF9-C1C9AD22057F}" destId="{5EF97E54-2FC2-42FC-85E4-8201DD810207}" srcOrd="0" destOrd="0" presId="urn:microsoft.com/office/officeart/2005/8/layout/hierarchy2"/>
    <dgm:cxn modelId="{7291D1C3-EC1B-478F-A7AC-3DE654E57EFB}" type="presOf" srcId="{6DF7B255-56F6-4931-929A-47E782E4F510}" destId="{3CBED734-1420-487A-85CC-9E422DC7E0D2}" srcOrd="0" destOrd="0" presId="urn:microsoft.com/office/officeart/2005/8/layout/hierarchy2"/>
    <dgm:cxn modelId="{16C6B9BA-7D9B-4743-BF77-1ACE475E00E0}" type="presOf" srcId="{755E1E2C-AE88-444E-892F-7B8F63725AC1}" destId="{D128B14A-7B0D-48A3-A2FF-3CCAE4B53368}" srcOrd="0" destOrd="0" presId="urn:microsoft.com/office/officeart/2005/8/layout/hierarchy2"/>
    <dgm:cxn modelId="{BB1FAAD4-F389-48D6-A76B-EC8B8C02E0AD}" type="presOf" srcId="{D305AC18-6B4D-428A-AE35-63B7E064763C}" destId="{1131E226-7068-4838-A853-7FAD4DAACC21}" srcOrd="1" destOrd="0" presId="urn:microsoft.com/office/officeart/2005/8/layout/hierarchy2"/>
    <dgm:cxn modelId="{19B720FA-93AE-43A7-96AB-D1DCA60A3B23}" srcId="{A97E2C94-C3D1-4279-A012-6748D1896F25}" destId="{ABEB9BB0-E7FC-43A6-85DB-DB3D3B9333D1}" srcOrd="3" destOrd="0" parTransId="{1F4489DC-5C80-45A9-BDF9-C1C9AD22057F}" sibTransId="{7029872A-9963-4411-9405-22D901CFDCC1}"/>
    <dgm:cxn modelId="{F0065F24-E0C0-4618-B813-D0671722D972}" type="presOf" srcId="{A87F543E-9E9D-49FF-A22E-DDB85B41A565}" destId="{63E2A3C4-D622-417A-92C0-BAA18DD62DE9}" srcOrd="1" destOrd="0" presId="urn:microsoft.com/office/officeart/2005/8/layout/hierarchy2"/>
    <dgm:cxn modelId="{602AA082-A083-47E1-B8DD-18AB7EF9A9E3}" srcId="{E43DE651-B8C6-498F-BD38-74CF55955178}" destId="{1B938917-B6E9-4C1E-A562-C6F1677C7BF4}" srcOrd="1" destOrd="0" parTransId="{D305AC18-6B4D-428A-AE35-63B7E064763C}" sibTransId="{8CBB1A73-435D-4CD0-86F9-B3C30BF457A3}"/>
    <dgm:cxn modelId="{66109E2B-46F9-4923-BFC8-68D606658112}" type="presOf" srcId="{3E5F3C09-017D-493F-9DAF-399C995B1883}" destId="{ED13FC0E-2652-4A82-BDB6-89353AC65441}" srcOrd="0" destOrd="0" presId="urn:microsoft.com/office/officeart/2005/8/layout/hierarchy2"/>
    <dgm:cxn modelId="{C12EAB2D-2FBF-4EBD-B823-9E5C34E227B8}" srcId="{A97E2C94-C3D1-4279-A012-6748D1896F25}" destId="{3E5F3C09-017D-493F-9DAF-399C995B1883}" srcOrd="0" destOrd="0" parTransId="{6DF7B255-56F6-4931-929A-47E782E4F510}" sibTransId="{98852BB3-CBD7-491B-8C0D-F52C908DEE29}"/>
    <dgm:cxn modelId="{CAD35FDB-A0FF-41FE-9398-54E2F55F91F2}" type="presOf" srcId="{6043C5CD-7023-4B1D-84E3-6E286EA25978}" destId="{C0FAE5B9-5575-45B9-B742-AFC6EBCF9910}" srcOrd="1" destOrd="0" presId="urn:microsoft.com/office/officeart/2005/8/layout/hierarchy2"/>
    <dgm:cxn modelId="{A76D6E0A-7B54-4CF3-878D-A8236945C435}" type="presOf" srcId="{7D76CDFE-342B-48F0-A278-0E9556EC4F27}" destId="{AB401381-A35B-425D-961D-1C2C069B38C1}" srcOrd="1" destOrd="0" presId="urn:microsoft.com/office/officeart/2005/8/layout/hierarchy2"/>
    <dgm:cxn modelId="{4FF59E32-0D43-4990-95EA-51270F35B20D}" srcId="{AC1EECFC-31BA-4D20-A24C-FC2E17DD46FB}" destId="{0F21938E-D76C-4388-A650-83A6A3D0572F}" srcOrd="0" destOrd="0" parTransId="{F2F884C8-45E6-416D-8033-23B5B31BF98B}" sibTransId="{09AE4C26-04AC-4746-B37E-06CABEFBB16E}"/>
    <dgm:cxn modelId="{8B05107B-D320-49EF-B19D-F95531E6572A}" type="presOf" srcId="{0F21938E-D76C-4388-A650-83A6A3D0572F}" destId="{D7CC15D9-924A-478F-8AF7-7B2EBE7BA7F6}" srcOrd="0" destOrd="0" presId="urn:microsoft.com/office/officeart/2005/8/layout/hierarchy2"/>
    <dgm:cxn modelId="{38B1A667-BACA-4460-9FFD-B05CA290900B}" type="presOf" srcId="{1F4489DC-5C80-45A9-BDF9-C1C9AD22057F}" destId="{A413E7F4-9E54-4BD9-ACF9-2EE1E12D8F4C}" srcOrd="1" destOrd="0" presId="urn:microsoft.com/office/officeart/2005/8/layout/hierarchy2"/>
    <dgm:cxn modelId="{3E1ED728-F482-40CF-8B0B-DE8964558280}" type="presOf" srcId="{A87F543E-9E9D-49FF-A22E-DDB85B41A565}" destId="{A154311A-069A-4768-AFC5-2394F787F650}" srcOrd="0" destOrd="0" presId="urn:microsoft.com/office/officeart/2005/8/layout/hierarchy2"/>
    <dgm:cxn modelId="{6BFC3C50-011D-4723-BFD7-D7FECAC60782}" type="presOf" srcId="{B559AD4C-CEB5-4917-A4EE-4521E9CF5D44}" destId="{AC216025-F703-4CC1-8208-4FEBA064485F}" srcOrd="0" destOrd="0" presId="urn:microsoft.com/office/officeart/2005/8/layout/hierarchy2"/>
    <dgm:cxn modelId="{EE451B6F-E3D9-4CB0-BEF0-BD4758B64354}" srcId="{F6F9E3C3-6D3D-4EF5-B788-B811644E3647}" destId="{E43DE651-B8C6-498F-BD38-74CF55955178}" srcOrd="1" destOrd="0" parTransId="{AEE22700-C565-4CDE-8EFC-FAA28E61C6D6}" sibTransId="{3B5E4CCE-9AB6-45D2-AEED-66D6EDCFB5D1}"/>
    <dgm:cxn modelId="{73691FEF-DEFF-4094-A780-BC1EBCC67F6D}" type="presOf" srcId="{0E4C987B-7492-424F-B7DD-A84C024A882B}" destId="{E783ED3D-240D-4C6F-976D-9DB37C494764}" srcOrd="0" destOrd="0" presId="urn:microsoft.com/office/officeart/2005/8/layout/hierarchy2"/>
    <dgm:cxn modelId="{67DC60ED-AEC7-4668-84F6-858D90015B92}" type="presOf" srcId="{755E1E2C-AE88-444E-892F-7B8F63725AC1}" destId="{49554641-6884-48BC-877F-EEFF5CCD12B6}" srcOrd="1" destOrd="0" presId="urn:microsoft.com/office/officeart/2005/8/layout/hierarchy2"/>
    <dgm:cxn modelId="{F95FF00A-27E8-4503-BC5F-6F56E5C37213}" srcId="{F6F9E3C3-6D3D-4EF5-B788-B811644E3647}" destId="{AC1EECFC-31BA-4D20-A24C-FC2E17DD46FB}" srcOrd="0" destOrd="0" parTransId="{0E4C987B-7492-424F-B7DD-A84C024A882B}" sibTransId="{6DCA4CB0-94DA-4AF1-B262-5DD58F2D4736}"/>
    <dgm:cxn modelId="{147F2FCA-44A3-43DE-B503-5BC226C11E2C}" type="presOf" srcId="{D1EFB373-98A1-4E08-AF18-AB57289CC739}" destId="{ECCDAB5F-C839-4039-A402-64DBDC30309C}" srcOrd="0" destOrd="0" presId="urn:microsoft.com/office/officeart/2005/8/layout/hierarchy2"/>
    <dgm:cxn modelId="{D7478FAC-7943-4D20-9DD7-BA16027E3B1A}" type="presOf" srcId="{C6B41683-9AFC-43AD-A899-679D9514962D}" destId="{52D038FA-4859-4270-9E7A-AD5EDE9E9A5B}" srcOrd="0" destOrd="0" presId="urn:microsoft.com/office/officeart/2005/8/layout/hierarchy2"/>
    <dgm:cxn modelId="{215D5077-B88B-4D18-8B53-F4735EABB0E4}" type="presOf" srcId="{F2F884C8-45E6-416D-8033-23B5B31BF98B}" destId="{ACD2AF35-55FB-4BB5-B6F9-E813B9DF1A14}" srcOrd="1" destOrd="0" presId="urn:microsoft.com/office/officeart/2005/8/layout/hierarchy2"/>
    <dgm:cxn modelId="{6E429C22-B47F-44AA-A845-FEA7BEB29B60}" type="presOf" srcId="{AC1EECFC-31BA-4D20-A24C-FC2E17DD46FB}" destId="{0CE6F5C1-F34B-48C7-9004-96CB1DBB3322}" srcOrd="0" destOrd="0" presId="urn:microsoft.com/office/officeart/2005/8/layout/hierarchy2"/>
    <dgm:cxn modelId="{E2695448-AC25-4000-A449-1E088CF04B5F}" type="presOf" srcId="{E43DE651-B8C6-498F-BD38-74CF55955178}" destId="{55BFF917-06C7-4F21-B991-976AD424C1A1}" srcOrd="0" destOrd="0" presId="urn:microsoft.com/office/officeart/2005/8/layout/hierarchy2"/>
    <dgm:cxn modelId="{AABD2917-0A5D-44B5-B54D-E5D453406F1B}" type="presOf" srcId="{1B938917-B6E9-4C1E-A562-C6F1677C7BF4}" destId="{D56658E2-CBC9-44A5-8218-11E088D05D73}" srcOrd="0" destOrd="0" presId="urn:microsoft.com/office/officeart/2005/8/layout/hierarchy2"/>
    <dgm:cxn modelId="{06BDA88D-8BA0-42E5-950F-829C6C2E37D5}" type="presOf" srcId="{8724F844-CDC6-48B7-A96F-12F0B38E3778}" destId="{7780C80A-6B30-4C14-8A84-D6EE2D7CE7AB}" srcOrd="0" destOrd="0" presId="urn:microsoft.com/office/officeart/2005/8/layout/hierarchy2"/>
    <dgm:cxn modelId="{622ED559-47BC-49DD-8973-474FB4B95E70}" type="presOf" srcId="{6DF7B255-56F6-4931-929A-47E782E4F510}" destId="{AD6601C9-9799-4649-A4E1-A52B415D1AD4}" srcOrd="1" destOrd="0" presId="urn:microsoft.com/office/officeart/2005/8/layout/hierarchy2"/>
    <dgm:cxn modelId="{4F6BD521-6174-4405-9909-8112AD802C71}" type="presOf" srcId="{350E39B4-D4F0-4049-93D7-CEB2003659B3}" destId="{A03BAAC9-6A99-426B-8544-B737FE20473E}" srcOrd="0" destOrd="0" presId="urn:microsoft.com/office/officeart/2005/8/layout/hierarchy2"/>
    <dgm:cxn modelId="{499638B1-C5D2-47A5-A018-A4D5AFD5C0A5}" srcId="{A97E2C94-C3D1-4279-A012-6748D1896F25}" destId="{1409A09B-C021-4AEB-AD86-293863B3DEF6}" srcOrd="2" destOrd="0" parTransId="{755E1E2C-AE88-444E-892F-7B8F63725AC1}" sibTransId="{FC7E68DE-9295-4B70-9029-5448A834BB41}"/>
    <dgm:cxn modelId="{624C1F7A-CE16-4741-BF8E-795EE6AD9727}" type="presOf" srcId="{F6F9E3C3-6D3D-4EF5-B788-B811644E3647}" destId="{2B2DE534-851C-4DF6-8055-F92D95392E23}" srcOrd="0" destOrd="0" presId="urn:microsoft.com/office/officeart/2005/8/layout/hierarchy2"/>
    <dgm:cxn modelId="{A21C8B35-381C-47E0-B235-77133C6F5046}" type="presOf" srcId="{6043C5CD-7023-4B1D-84E3-6E286EA25978}" destId="{9845EA74-0B6B-4CCE-A601-7E52DF31F951}" srcOrd="0" destOrd="0" presId="urn:microsoft.com/office/officeart/2005/8/layout/hierarchy2"/>
    <dgm:cxn modelId="{63B4D7A9-059F-4A07-BF55-53F06FD941F5}" type="presOf" srcId="{B559AD4C-CEB5-4917-A4EE-4521E9CF5D44}" destId="{21D16ACD-07F2-45A7-A135-BCB1F56D4EEC}" srcOrd="1" destOrd="0" presId="urn:microsoft.com/office/officeart/2005/8/layout/hierarchy2"/>
    <dgm:cxn modelId="{EB6EC2E4-69F9-4908-AC3C-EA2827A97D72}" srcId="{AC1EECFC-31BA-4D20-A24C-FC2E17DD46FB}" destId="{C6B41683-9AFC-43AD-A899-679D9514962D}" srcOrd="1" destOrd="0" parTransId="{6043C5CD-7023-4B1D-84E3-6E286EA25978}" sibTransId="{2980DD79-08B1-453E-98BD-FA128100E7A4}"/>
    <dgm:cxn modelId="{7AF54746-6E8D-40D4-9172-51B45547F34E}" type="presOf" srcId="{0E4C987B-7492-424F-B7DD-A84C024A882B}" destId="{B1864C6F-E5EF-4006-8F57-29CA0ACDE8D5}" srcOrd="1" destOrd="0" presId="urn:microsoft.com/office/officeart/2005/8/layout/hierarchy2"/>
    <dgm:cxn modelId="{ECBF5B73-FC7F-4539-B32F-900918752F19}" type="presOf" srcId="{9545A2B3-8BB4-45D9-B3BB-9B7903294BE7}" destId="{5804E03E-CA35-4621-9DB5-B8754A98EFFF}" srcOrd="1" destOrd="0" presId="urn:microsoft.com/office/officeart/2005/8/layout/hierarchy2"/>
    <dgm:cxn modelId="{F14B933D-39FB-44DA-8E8F-F6F4C949B69B}" type="presOf" srcId="{AEE22700-C565-4CDE-8EFC-FAA28E61C6D6}" destId="{FBA9674A-13AB-4ACD-8DB4-FC1DDFE12627}" srcOrd="1" destOrd="0" presId="urn:microsoft.com/office/officeart/2005/8/layout/hierarchy2"/>
    <dgm:cxn modelId="{18FF1FE1-CFDD-4658-BA41-D79A5377AF0A}" type="presOf" srcId="{1409A09B-C021-4AEB-AD86-293863B3DEF6}" destId="{51A5A684-0685-47D6-9D3B-F2D7115B5C4D}" srcOrd="0" destOrd="0" presId="urn:microsoft.com/office/officeart/2005/8/layout/hierarchy2"/>
    <dgm:cxn modelId="{422BA7CA-7F28-42A1-A294-F34391B6C49A}" srcId="{350E39B4-D4F0-4049-93D7-CEB2003659B3}" destId="{0B44A9D3-7B82-4F31-97FD-42735E91EB52}" srcOrd="0" destOrd="0" parTransId="{442010AF-BE07-4547-94DF-96875FFD5F47}" sibTransId="{677ED892-20AD-45D6-AA8E-DFE5225DAE05}"/>
    <dgm:cxn modelId="{CAB9D07C-E970-4882-AC33-043C7292635C}" type="presOf" srcId="{8724F844-CDC6-48B7-A96F-12F0B38E3778}" destId="{065AC2C7-817C-4F32-BB3B-988AC3AA9A00}" srcOrd="1" destOrd="0" presId="urn:microsoft.com/office/officeart/2005/8/layout/hierarchy2"/>
    <dgm:cxn modelId="{97AC892F-99AD-47D2-AD40-B4665869FEA6}" srcId="{0B44A9D3-7B82-4F31-97FD-42735E91EB52}" destId="{F6F9E3C3-6D3D-4EF5-B788-B811644E3647}" srcOrd="0" destOrd="0" parTransId="{8724F844-CDC6-48B7-A96F-12F0B38E3778}" sibTransId="{957A347D-327F-47A8-B3EB-17D28674ABD4}"/>
    <dgm:cxn modelId="{8342C905-98A3-4893-B59A-B28A5CD17F67}" type="presOf" srcId="{CADEB019-A60E-48AB-96AE-890209E75A4E}" destId="{4896B0F1-6F39-448B-92BF-B5EC4C371FEF}" srcOrd="0" destOrd="0" presId="urn:microsoft.com/office/officeart/2005/8/layout/hierarchy2"/>
    <dgm:cxn modelId="{AA9A7470-70D1-43C0-90F9-314FC08E2128}" type="presOf" srcId="{AEE22700-C565-4CDE-8EFC-FAA28E61C6D6}" destId="{E5AE97E1-F5D3-4EDA-A979-BC0D13733702}" srcOrd="0" destOrd="0" presId="urn:microsoft.com/office/officeart/2005/8/layout/hierarchy2"/>
    <dgm:cxn modelId="{1C9C85D0-64D6-439D-9725-CB015DED8465}" type="presOf" srcId="{ABEB9BB0-E7FC-43A6-85DB-DB3D3B9333D1}" destId="{91B525EA-2C10-4BB9-B7BF-D34DF142C1FF}" srcOrd="0" destOrd="0" presId="urn:microsoft.com/office/officeart/2005/8/layout/hierarchy2"/>
    <dgm:cxn modelId="{B10BDF4D-DA2D-4658-AAF3-1B88AE12C555}" srcId="{A97E2C94-C3D1-4279-A012-6748D1896F25}" destId="{CADEB019-A60E-48AB-96AE-890209E75A4E}" srcOrd="1" destOrd="0" parTransId="{A87F543E-9E9D-49FF-A22E-DDB85B41A565}" sibTransId="{B3EC674C-35DA-4416-BE54-956E6764349B}"/>
    <dgm:cxn modelId="{7AA475FF-636B-4A67-A9C5-B62EF14FEE71}" type="presOf" srcId="{A97E2C94-C3D1-4279-A012-6748D1896F25}" destId="{BF311934-62A2-4D69-994D-160B4C04E53D}" srcOrd="0" destOrd="0" presId="urn:microsoft.com/office/officeart/2005/8/layout/hierarchy2"/>
    <dgm:cxn modelId="{74C4EC83-ED58-4CF9-B29A-EE8C27B4CFAE}" type="presOf" srcId="{0B44A9D3-7B82-4F31-97FD-42735E91EB52}" destId="{C5AB5201-88EB-4D56-B2A7-F47D42F22C0E}" srcOrd="0" destOrd="0" presId="urn:microsoft.com/office/officeart/2005/8/layout/hierarchy2"/>
    <dgm:cxn modelId="{756EB9A4-CD95-44AA-A310-2C36CD57EE56}" srcId="{E43DE651-B8C6-498F-BD38-74CF55955178}" destId="{D1EFB373-98A1-4E08-AF18-AB57289CC739}" srcOrd="2" destOrd="0" parTransId="{7D76CDFE-342B-48F0-A278-0E9556EC4F27}" sibTransId="{B00BA7AA-8647-44A9-B3C9-213BF11A5B90}"/>
    <dgm:cxn modelId="{D17420E3-0628-47D7-B5EE-245EC0EC6DCF}" srcId="{F6F9E3C3-6D3D-4EF5-B788-B811644E3647}" destId="{A97E2C94-C3D1-4279-A012-6748D1896F25}" srcOrd="2" destOrd="0" parTransId="{9545A2B3-8BB4-45D9-B3BB-9B7903294BE7}" sibTransId="{9B0AC3F1-7664-48F7-B6A4-57F2F38EAC49}"/>
    <dgm:cxn modelId="{E802DF21-C541-4682-827E-B38DD3BA5A29}" type="presOf" srcId="{7D76CDFE-342B-48F0-A278-0E9556EC4F27}" destId="{6A87E14E-B678-4959-91B7-47EA6062E0B3}" srcOrd="0" destOrd="0" presId="urn:microsoft.com/office/officeart/2005/8/layout/hierarchy2"/>
    <dgm:cxn modelId="{FEF8408C-CB80-42DF-BAA2-AEBBA8208E0C}" srcId="{E43DE651-B8C6-498F-BD38-74CF55955178}" destId="{256EA839-8A08-40ED-85C8-2D789AD83A1E}" srcOrd="0" destOrd="0" parTransId="{B559AD4C-CEB5-4917-A4EE-4521E9CF5D44}" sibTransId="{D671FCC7-38D5-46B4-B2E5-8A81B309B0D3}"/>
    <dgm:cxn modelId="{8B56E94C-9C84-48AC-A984-1BFE6097A513}" type="presOf" srcId="{9545A2B3-8BB4-45D9-B3BB-9B7903294BE7}" destId="{3BC35BB0-0747-46EA-A572-1FFC326D8AD1}" srcOrd="0" destOrd="0" presId="urn:microsoft.com/office/officeart/2005/8/layout/hierarchy2"/>
    <dgm:cxn modelId="{F5AA4F09-A3D8-4BEC-8D8F-1701A43E94FF}" type="presOf" srcId="{F2F884C8-45E6-416D-8033-23B5B31BF98B}" destId="{140F75B4-372E-4DF6-8BF0-36F5D23E16B5}" srcOrd="0" destOrd="0" presId="urn:microsoft.com/office/officeart/2005/8/layout/hierarchy2"/>
    <dgm:cxn modelId="{B1A9B95E-8737-435A-8C4E-70FAA6D6F069}" type="presParOf" srcId="{A03BAAC9-6A99-426B-8544-B737FE20473E}" destId="{5301D075-94B2-4C1E-9FE9-818F7A142AA4}" srcOrd="0" destOrd="0" presId="urn:microsoft.com/office/officeart/2005/8/layout/hierarchy2"/>
    <dgm:cxn modelId="{2B67A8BD-028E-412C-9CFE-5D6DD4E420A0}" type="presParOf" srcId="{5301D075-94B2-4C1E-9FE9-818F7A142AA4}" destId="{C5AB5201-88EB-4D56-B2A7-F47D42F22C0E}" srcOrd="0" destOrd="0" presId="urn:microsoft.com/office/officeart/2005/8/layout/hierarchy2"/>
    <dgm:cxn modelId="{28F4370C-FA42-45A7-B85F-054F2A416534}" type="presParOf" srcId="{5301D075-94B2-4C1E-9FE9-818F7A142AA4}" destId="{4DC5C278-A3EA-4F9C-9B52-61ECBE40402D}" srcOrd="1" destOrd="0" presId="urn:microsoft.com/office/officeart/2005/8/layout/hierarchy2"/>
    <dgm:cxn modelId="{DE748427-F393-4A1A-A026-84D773A1089F}" type="presParOf" srcId="{4DC5C278-A3EA-4F9C-9B52-61ECBE40402D}" destId="{7780C80A-6B30-4C14-8A84-D6EE2D7CE7AB}" srcOrd="0" destOrd="0" presId="urn:microsoft.com/office/officeart/2005/8/layout/hierarchy2"/>
    <dgm:cxn modelId="{7A6510D1-EFEA-41A6-810E-1F94FBD4404D}" type="presParOf" srcId="{7780C80A-6B30-4C14-8A84-D6EE2D7CE7AB}" destId="{065AC2C7-817C-4F32-BB3B-988AC3AA9A00}" srcOrd="0" destOrd="0" presId="urn:microsoft.com/office/officeart/2005/8/layout/hierarchy2"/>
    <dgm:cxn modelId="{9114B0CD-7680-4AE4-A868-AEB76FC8EEE7}" type="presParOf" srcId="{4DC5C278-A3EA-4F9C-9B52-61ECBE40402D}" destId="{015BA4FD-81FB-4562-9D9A-5DCC1BF8DB0F}" srcOrd="1" destOrd="0" presId="urn:microsoft.com/office/officeart/2005/8/layout/hierarchy2"/>
    <dgm:cxn modelId="{40834616-37BA-4C76-9FCB-6C79EB472595}" type="presParOf" srcId="{015BA4FD-81FB-4562-9D9A-5DCC1BF8DB0F}" destId="{2B2DE534-851C-4DF6-8055-F92D95392E23}" srcOrd="0" destOrd="0" presId="urn:microsoft.com/office/officeart/2005/8/layout/hierarchy2"/>
    <dgm:cxn modelId="{37A0D397-B645-4DA5-9B55-81A4F164B286}" type="presParOf" srcId="{015BA4FD-81FB-4562-9D9A-5DCC1BF8DB0F}" destId="{9D6698CD-0F85-4FBD-A6B8-D28D6D792FEC}" srcOrd="1" destOrd="0" presId="urn:microsoft.com/office/officeart/2005/8/layout/hierarchy2"/>
    <dgm:cxn modelId="{99887B3A-F86A-4F64-9CCE-0ABEF551CC0C}" type="presParOf" srcId="{9D6698CD-0F85-4FBD-A6B8-D28D6D792FEC}" destId="{E783ED3D-240D-4C6F-976D-9DB37C494764}" srcOrd="0" destOrd="0" presId="urn:microsoft.com/office/officeart/2005/8/layout/hierarchy2"/>
    <dgm:cxn modelId="{D1E38A02-4785-4D26-8061-FFF8F52C32F8}" type="presParOf" srcId="{E783ED3D-240D-4C6F-976D-9DB37C494764}" destId="{B1864C6F-E5EF-4006-8F57-29CA0ACDE8D5}" srcOrd="0" destOrd="0" presId="urn:microsoft.com/office/officeart/2005/8/layout/hierarchy2"/>
    <dgm:cxn modelId="{429AC850-FE0A-4BDF-A800-93DC974E12D3}" type="presParOf" srcId="{9D6698CD-0F85-4FBD-A6B8-D28D6D792FEC}" destId="{797DA38F-A497-498E-A4C1-851EF3E88014}" srcOrd="1" destOrd="0" presId="urn:microsoft.com/office/officeart/2005/8/layout/hierarchy2"/>
    <dgm:cxn modelId="{66F79412-4145-4E6B-B204-0C04006C375C}" type="presParOf" srcId="{797DA38F-A497-498E-A4C1-851EF3E88014}" destId="{0CE6F5C1-F34B-48C7-9004-96CB1DBB3322}" srcOrd="0" destOrd="0" presId="urn:microsoft.com/office/officeart/2005/8/layout/hierarchy2"/>
    <dgm:cxn modelId="{25E75395-05FA-48D2-BFB4-7C320B6D19AD}" type="presParOf" srcId="{797DA38F-A497-498E-A4C1-851EF3E88014}" destId="{A8613FF9-E064-4BFC-A68F-9C63C538D239}" srcOrd="1" destOrd="0" presId="urn:microsoft.com/office/officeart/2005/8/layout/hierarchy2"/>
    <dgm:cxn modelId="{1D3C0F15-1334-4EA0-B53F-7CE641B7BE27}" type="presParOf" srcId="{A8613FF9-E064-4BFC-A68F-9C63C538D239}" destId="{140F75B4-372E-4DF6-8BF0-36F5D23E16B5}" srcOrd="0" destOrd="0" presId="urn:microsoft.com/office/officeart/2005/8/layout/hierarchy2"/>
    <dgm:cxn modelId="{2FC92139-69F9-47DD-BCBB-5F7A1F1DC270}" type="presParOf" srcId="{140F75B4-372E-4DF6-8BF0-36F5D23E16B5}" destId="{ACD2AF35-55FB-4BB5-B6F9-E813B9DF1A14}" srcOrd="0" destOrd="0" presId="urn:microsoft.com/office/officeart/2005/8/layout/hierarchy2"/>
    <dgm:cxn modelId="{EFF56F48-FBD3-46E9-80A4-5D98A0297670}" type="presParOf" srcId="{A8613FF9-E064-4BFC-A68F-9C63C538D239}" destId="{BFFEF5BA-F14C-48FA-88D5-0654AC2B2E32}" srcOrd="1" destOrd="0" presId="urn:microsoft.com/office/officeart/2005/8/layout/hierarchy2"/>
    <dgm:cxn modelId="{6F16CA3F-4423-4D5F-BFFA-E1A20896AA5C}" type="presParOf" srcId="{BFFEF5BA-F14C-48FA-88D5-0654AC2B2E32}" destId="{D7CC15D9-924A-478F-8AF7-7B2EBE7BA7F6}" srcOrd="0" destOrd="0" presId="urn:microsoft.com/office/officeart/2005/8/layout/hierarchy2"/>
    <dgm:cxn modelId="{AEF39CEE-5307-45CA-B0A2-C9E95462DE60}" type="presParOf" srcId="{BFFEF5BA-F14C-48FA-88D5-0654AC2B2E32}" destId="{837E9254-54A9-4B12-840F-4B789EF7ABE3}" srcOrd="1" destOrd="0" presId="urn:microsoft.com/office/officeart/2005/8/layout/hierarchy2"/>
    <dgm:cxn modelId="{E6B1A39E-A73D-4910-AEBA-A541AD1A9E87}" type="presParOf" srcId="{A8613FF9-E064-4BFC-A68F-9C63C538D239}" destId="{9845EA74-0B6B-4CCE-A601-7E52DF31F951}" srcOrd="2" destOrd="0" presId="urn:microsoft.com/office/officeart/2005/8/layout/hierarchy2"/>
    <dgm:cxn modelId="{70C28E83-AA34-4170-B82D-D0CA3EF48A42}" type="presParOf" srcId="{9845EA74-0B6B-4CCE-A601-7E52DF31F951}" destId="{C0FAE5B9-5575-45B9-B742-AFC6EBCF9910}" srcOrd="0" destOrd="0" presId="urn:microsoft.com/office/officeart/2005/8/layout/hierarchy2"/>
    <dgm:cxn modelId="{A4DDACE2-DEB7-4714-9358-898853DA17EA}" type="presParOf" srcId="{A8613FF9-E064-4BFC-A68F-9C63C538D239}" destId="{67A5C755-7C38-49EB-97A7-CC78F6CFC8F8}" srcOrd="3" destOrd="0" presId="urn:microsoft.com/office/officeart/2005/8/layout/hierarchy2"/>
    <dgm:cxn modelId="{953F9345-2D1F-4FF3-9D9C-0FCCC951E3DA}" type="presParOf" srcId="{67A5C755-7C38-49EB-97A7-CC78F6CFC8F8}" destId="{52D038FA-4859-4270-9E7A-AD5EDE9E9A5B}" srcOrd="0" destOrd="0" presId="urn:microsoft.com/office/officeart/2005/8/layout/hierarchy2"/>
    <dgm:cxn modelId="{599B0C6F-70BA-4AFD-9615-5627B4F40E5A}" type="presParOf" srcId="{67A5C755-7C38-49EB-97A7-CC78F6CFC8F8}" destId="{7B722A4D-227F-4D51-8851-51726E6C8786}" srcOrd="1" destOrd="0" presId="urn:microsoft.com/office/officeart/2005/8/layout/hierarchy2"/>
    <dgm:cxn modelId="{E485DD33-8234-438A-8576-1688EC48B70D}" type="presParOf" srcId="{9D6698CD-0F85-4FBD-A6B8-D28D6D792FEC}" destId="{E5AE97E1-F5D3-4EDA-A979-BC0D13733702}" srcOrd="2" destOrd="0" presId="urn:microsoft.com/office/officeart/2005/8/layout/hierarchy2"/>
    <dgm:cxn modelId="{C518987F-D53A-4B47-ADD1-43B1FD8772F3}" type="presParOf" srcId="{E5AE97E1-F5D3-4EDA-A979-BC0D13733702}" destId="{FBA9674A-13AB-4ACD-8DB4-FC1DDFE12627}" srcOrd="0" destOrd="0" presId="urn:microsoft.com/office/officeart/2005/8/layout/hierarchy2"/>
    <dgm:cxn modelId="{F9368943-0D61-48FF-80C1-3190DC68645C}" type="presParOf" srcId="{9D6698CD-0F85-4FBD-A6B8-D28D6D792FEC}" destId="{80E77EC0-6E33-4F65-8C0A-17620D11102F}" srcOrd="3" destOrd="0" presId="urn:microsoft.com/office/officeart/2005/8/layout/hierarchy2"/>
    <dgm:cxn modelId="{5B66A843-8E36-474E-B7FE-D154DD350956}" type="presParOf" srcId="{80E77EC0-6E33-4F65-8C0A-17620D11102F}" destId="{55BFF917-06C7-4F21-B991-976AD424C1A1}" srcOrd="0" destOrd="0" presId="urn:microsoft.com/office/officeart/2005/8/layout/hierarchy2"/>
    <dgm:cxn modelId="{4E70CCBE-2EB8-4E9C-A224-9DA9EFD7C7B5}" type="presParOf" srcId="{80E77EC0-6E33-4F65-8C0A-17620D11102F}" destId="{D243F1E3-97FA-4A09-9510-29778AA4A23A}" srcOrd="1" destOrd="0" presId="urn:microsoft.com/office/officeart/2005/8/layout/hierarchy2"/>
    <dgm:cxn modelId="{935DD48F-97B3-4124-9DE2-EB948693DAD4}" type="presParOf" srcId="{D243F1E3-97FA-4A09-9510-29778AA4A23A}" destId="{AC216025-F703-4CC1-8208-4FEBA064485F}" srcOrd="0" destOrd="0" presId="urn:microsoft.com/office/officeart/2005/8/layout/hierarchy2"/>
    <dgm:cxn modelId="{95FD14D5-1817-4527-B2FF-8F5FCE298047}" type="presParOf" srcId="{AC216025-F703-4CC1-8208-4FEBA064485F}" destId="{21D16ACD-07F2-45A7-A135-BCB1F56D4EEC}" srcOrd="0" destOrd="0" presId="urn:microsoft.com/office/officeart/2005/8/layout/hierarchy2"/>
    <dgm:cxn modelId="{41C45F8C-9A51-4E5C-A9C7-3A1334D53B74}" type="presParOf" srcId="{D243F1E3-97FA-4A09-9510-29778AA4A23A}" destId="{AE294B3A-E23F-4ED0-AD56-05AB526C93A3}" srcOrd="1" destOrd="0" presId="urn:microsoft.com/office/officeart/2005/8/layout/hierarchy2"/>
    <dgm:cxn modelId="{F371C5D0-62CC-455C-84A5-C0257A9A31D9}" type="presParOf" srcId="{AE294B3A-E23F-4ED0-AD56-05AB526C93A3}" destId="{2C703A17-925A-47FA-982E-A4A7EFBE4D0A}" srcOrd="0" destOrd="0" presId="urn:microsoft.com/office/officeart/2005/8/layout/hierarchy2"/>
    <dgm:cxn modelId="{6FA4EFA6-75FE-483E-8413-1F6E4DC5DE20}" type="presParOf" srcId="{AE294B3A-E23F-4ED0-AD56-05AB526C93A3}" destId="{9504ADB6-ADDB-4BE6-9521-37F9EC6195FA}" srcOrd="1" destOrd="0" presId="urn:microsoft.com/office/officeart/2005/8/layout/hierarchy2"/>
    <dgm:cxn modelId="{CBA0DF87-72ED-4901-A3F1-78DE76BF7EF4}" type="presParOf" srcId="{D243F1E3-97FA-4A09-9510-29778AA4A23A}" destId="{B306FB30-5662-4A6C-A390-C56036193483}" srcOrd="2" destOrd="0" presId="urn:microsoft.com/office/officeart/2005/8/layout/hierarchy2"/>
    <dgm:cxn modelId="{8F1FEB39-3F4F-487F-A9CD-D5786A19AC54}" type="presParOf" srcId="{B306FB30-5662-4A6C-A390-C56036193483}" destId="{1131E226-7068-4838-A853-7FAD4DAACC21}" srcOrd="0" destOrd="0" presId="urn:microsoft.com/office/officeart/2005/8/layout/hierarchy2"/>
    <dgm:cxn modelId="{B43C54CA-8B29-4C06-933E-5DE2E6DCC55B}" type="presParOf" srcId="{D243F1E3-97FA-4A09-9510-29778AA4A23A}" destId="{60C66D49-14EE-4F7E-AF9C-F64D3F7EC984}" srcOrd="3" destOrd="0" presId="urn:microsoft.com/office/officeart/2005/8/layout/hierarchy2"/>
    <dgm:cxn modelId="{F798567D-B469-491D-BA30-53AC9E26B356}" type="presParOf" srcId="{60C66D49-14EE-4F7E-AF9C-F64D3F7EC984}" destId="{D56658E2-CBC9-44A5-8218-11E088D05D73}" srcOrd="0" destOrd="0" presId="urn:microsoft.com/office/officeart/2005/8/layout/hierarchy2"/>
    <dgm:cxn modelId="{0AB459A4-2F9F-406B-80A3-722CC7805325}" type="presParOf" srcId="{60C66D49-14EE-4F7E-AF9C-F64D3F7EC984}" destId="{3462E925-5823-48F0-90DC-DD57B602FA28}" srcOrd="1" destOrd="0" presId="urn:microsoft.com/office/officeart/2005/8/layout/hierarchy2"/>
    <dgm:cxn modelId="{F9640B40-FA79-42C0-B113-D352C0B1EB49}" type="presParOf" srcId="{D243F1E3-97FA-4A09-9510-29778AA4A23A}" destId="{6A87E14E-B678-4959-91B7-47EA6062E0B3}" srcOrd="4" destOrd="0" presId="urn:microsoft.com/office/officeart/2005/8/layout/hierarchy2"/>
    <dgm:cxn modelId="{D058418E-4239-44EF-AFC8-DCA9B1808B9C}" type="presParOf" srcId="{6A87E14E-B678-4959-91B7-47EA6062E0B3}" destId="{AB401381-A35B-425D-961D-1C2C069B38C1}" srcOrd="0" destOrd="0" presId="urn:microsoft.com/office/officeart/2005/8/layout/hierarchy2"/>
    <dgm:cxn modelId="{F97709BA-537C-42B2-9910-CA83FD558EFC}" type="presParOf" srcId="{D243F1E3-97FA-4A09-9510-29778AA4A23A}" destId="{A095A3E4-08EA-42F4-ACD2-58D5BC515C8E}" srcOrd="5" destOrd="0" presId="urn:microsoft.com/office/officeart/2005/8/layout/hierarchy2"/>
    <dgm:cxn modelId="{878082C4-C55B-4979-8A45-97E35B7B1D0D}" type="presParOf" srcId="{A095A3E4-08EA-42F4-ACD2-58D5BC515C8E}" destId="{ECCDAB5F-C839-4039-A402-64DBDC30309C}" srcOrd="0" destOrd="0" presId="urn:microsoft.com/office/officeart/2005/8/layout/hierarchy2"/>
    <dgm:cxn modelId="{98392793-FD61-40C8-A364-0BA19E646EAB}" type="presParOf" srcId="{A095A3E4-08EA-42F4-ACD2-58D5BC515C8E}" destId="{3C7A6B10-DEA2-4BBD-9F36-83A3B9AEE81B}" srcOrd="1" destOrd="0" presId="urn:microsoft.com/office/officeart/2005/8/layout/hierarchy2"/>
    <dgm:cxn modelId="{914F0A80-F876-4FB3-8ADA-95406C3DAA42}" type="presParOf" srcId="{9D6698CD-0F85-4FBD-A6B8-D28D6D792FEC}" destId="{3BC35BB0-0747-46EA-A572-1FFC326D8AD1}" srcOrd="4" destOrd="0" presId="urn:microsoft.com/office/officeart/2005/8/layout/hierarchy2"/>
    <dgm:cxn modelId="{BA8FDCCE-360B-4B22-90FB-59A2ED5F2B31}" type="presParOf" srcId="{3BC35BB0-0747-46EA-A572-1FFC326D8AD1}" destId="{5804E03E-CA35-4621-9DB5-B8754A98EFFF}" srcOrd="0" destOrd="0" presId="urn:microsoft.com/office/officeart/2005/8/layout/hierarchy2"/>
    <dgm:cxn modelId="{438BB077-F508-45C9-A54D-5D4D8ECD5325}" type="presParOf" srcId="{9D6698CD-0F85-4FBD-A6B8-D28D6D792FEC}" destId="{4A1BFE80-8016-4E4E-9F9D-CC3933C144B7}" srcOrd="5" destOrd="0" presId="urn:microsoft.com/office/officeart/2005/8/layout/hierarchy2"/>
    <dgm:cxn modelId="{FD121551-4753-4445-B124-0460BB138D29}" type="presParOf" srcId="{4A1BFE80-8016-4E4E-9F9D-CC3933C144B7}" destId="{BF311934-62A2-4D69-994D-160B4C04E53D}" srcOrd="0" destOrd="0" presId="urn:microsoft.com/office/officeart/2005/8/layout/hierarchy2"/>
    <dgm:cxn modelId="{E53507F1-5B4F-45FD-B63E-2963A21D2646}" type="presParOf" srcId="{4A1BFE80-8016-4E4E-9F9D-CC3933C144B7}" destId="{CEF61493-B608-4D82-A5E0-260A19197E59}" srcOrd="1" destOrd="0" presId="urn:microsoft.com/office/officeart/2005/8/layout/hierarchy2"/>
    <dgm:cxn modelId="{67D9E398-1B81-4445-8028-D5B7E433B7FA}" type="presParOf" srcId="{CEF61493-B608-4D82-A5E0-260A19197E59}" destId="{3CBED734-1420-487A-85CC-9E422DC7E0D2}" srcOrd="0" destOrd="0" presId="urn:microsoft.com/office/officeart/2005/8/layout/hierarchy2"/>
    <dgm:cxn modelId="{16E9F1E3-4A78-4D3B-BDCA-39FADB9D5527}" type="presParOf" srcId="{3CBED734-1420-487A-85CC-9E422DC7E0D2}" destId="{AD6601C9-9799-4649-A4E1-A52B415D1AD4}" srcOrd="0" destOrd="0" presId="urn:microsoft.com/office/officeart/2005/8/layout/hierarchy2"/>
    <dgm:cxn modelId="{C3812118-A9FC-4F94-AEB6-B04BE54A349C}" type="presParOf" srcId="{CEF61493-B608-4D82-A5E0-260A19197E59}" destId="{DD133952-520B-4BFF-A996-4070621AA018}" srcOrd="1" destOrd="0" presId="urn:microsoft.com/office/officeart/2005/8/layout/hierarchy2"/>
    <dgm:cxn modelId="{FCF81F39-2855-4BD7-93FC-D0D2D6A7A8AB}" type="presParOf" srcId="{DD133952-520B-4BFF-A996-4070621AA018}" destId="{ED13FC0E-2652-4A82-BDB6-89353AC65441}" srcOrd="0" destOrd="0" presId="urn:microsoft.com/office/officeart/2005/8/layout/hierarchy2"/>
    <dgm:cxn modelId="{1C43B787-2DF5-4BEE-9E86-A7240AC6A29B}" type="presParOf" srcId="{DD133952-520B-4BFF-A996-4070621AA018}" destId="{7A491DC1-3D00-498D-A44D-E3199CE0492C}" srcOrd="1" destOrd="0" presId="urn:microsoft.com/office/officeart/2005/8/layout/hierarchy2"/>
    <dgm:cxn modelId="{23BA5EF7-2624-48CD-B327-6ADF7BA10886}" type="presParOf" srcId="{CEF61493-B608-4D82-A5E0-260A19197E59}" destId="{A154311A-069A-4768-AFC5-2394F787F650}" srcOrd="2" destOrd="0" presId="urn:microsoft.com/office/officeart/2005/8/layout/hierarchy2"/>
    <dgm:cxn modelId="{138363C6-6911-439D-AC74-CA0D8FC695C6}" type="presParOf" srcId="{A154311A-069A-4768-AFC5-2394F787F650}" destId="{63E2A3C4-D622-417A-92C0-BAA18DD62DE9}" srcOrd="0" destOrd="0" presId="urn:microsoft.com/office/officeart/2005/8/layout/hierarchy2"/>
    <dgm:cxn modelId="{31F3E1B3-16D0-481E-B3ED-6BADF6140462}" type="presParOf" srcId="{CEF61493-B608-4D82-A5E0-260A19197E59}" destId="{E8F7AFDD-3D45-4FB9-9415-D93B1829988B}" srcOrd="3" destOrd="0" presId="urn:microsoft.com/office/officeart/2005/8/layout/hierarchy2"/>
    <dgm:cxn modelId="{6F0E5D07-0F07-4BEF-B58B-0B74744AB6BF}" type="presParOf" srcId="{E8F7AFDD-3D45-4FB9-9415-D93B1829988B}" destId="{4896B0F1-6F39-448B-92BF-B5EC4C371FEF}" srcOrd="0" destOrd="0" presId="urn:microsoft.com/office/officeart/2005/8/layout/hierarchy2"/>
    <dgm:cxn modelId="{3546C9E0-59EF-445B-AB0F-AAA0905ABDF3}" type="presParOf" srcId="{E8F7AFDD-3D45-4FB9-9415-D93B1829988B}" destId="{9D03C8AF-B222-4841-BC92-9181EFFABEEC}" srcOrd="1" destOrd="0" presId="urn:microsoft.com/office/officeart/2005/8/layout/hierarchy2"/>
    <dgm:cxn modelId="{5F5163A9-73A2-4A9A-AA54-4D688D2EF017}" type="presParOf" srcId="{CEF61493-B608-4D82-A5E0-260A19197E59}" destId="{D128B14A-7B0D-48A3-A2FF-3CCAE4B53368}" srcOrd="4" destOrd="0" presId="urn:microsoft.com/office/officeart/2005/8/layout/hierarchy2"/>
    <dgm:cxn modelId="{E263F96C-CA84-47FE-BB34-8633367978F9}" type="presParOf" srcId="{D128B14A-7B0D-48A3-A2FF-3CCAE4B53368}" destId="{49554641-6884-48BC-877F-EEFF5CCD12B6}" srcOrd="0" destOrd="0" presId="urn:microsoft.com/office/officeart/2005/8/layout/hierarchy2"/>
    <dgm:cxn modelId="{5A148C9B-6423-42BB-A6F4-1C348F05868B}" type="presParOf" srcId="{CEF61493-B608-4D82-A5E0-260A19197E59}" destId="{F85D8EFE-4178-4A70-9F60-3C68C898A256}" srcOrd="5" destOrd="0" presId="urn:microsoft.com/office/officeart/2005/8/layout/hierarchy2"/>
    <dgm:cxn modelId="{82B1ECB9-A392-4E6F-BD1D-2C7F56A9E7A5}" type="presParOf" srcId="{F85D8EFE-4178-4A70-9F60-3C68C898A256}" destId="{51A5A684-0685-47D6-9D3B-F2D7115B5C4D}" srcOrd="0" destOrd="0" presId="urn:microsoft.com/office/officeart/2005/8/layout/hierarchy2"/>
    <dgm:cxn modelId="{2569EC5E-EF49-4F5E-B019-62F0C1A2AF33}" type="presParOf" srcId="{F85D8EFE-4178-4A70-9F60-3C68C898A256}" destId="{838A0C59-2A0B-4F31-9564-E13FC9129C5B}" srcOrd="1" destOrd="0" presId="urn:microsoft.com/office/officeart/2005/8/layout/hierarchy2"/>
    <dgm:cxn modelId="{90C8ED80-38CA-4399-B83D-646897104757}" type="presParOf" srcId="{CEF61493-B608-4D82-A5E0-260A19197E59}" destId="{5EF97E54-2FC2-42FC-85E4-8201DD810207}" srcOrd="6" destOrd="0" presId="urn:microsoft.com/office/officeart/2005/8/layout/hierarchy2"/>
    <dgm:cxn modelId="{AFD52BFD-2FFE-4320-A63F-18F088BB318B}" type="presParOf" srcId="{5EF97E54-2FC2-42FC-85E4-8201DD810207}" destId="{A413E7F4-9E54-4BD9-ACF9-2EE1E12D8F4C}" srcOrd="0" destOrd="0" presId="urn:microsoft.com/office/officeart/2005/8/layout/hierarchy2"/>
    <dgm:cxn modelId="{FBED42B4-657E-4C5A-A803-A2D170673479}" type="presParOf" srcId="{CEF61493-B608-4D82-A5E0-260A19197E59}" destId="{020EED3B-51A8-4119-925C-455C9F230D25}" srcOrd="7" destOrd="0" presId="urn:microsoft.com/office/officeart/2005/8/layout/hierarchy2"/>
    <dgm:cxn modelId="{BE623411-84C6-461F-AE8C-22CA7F6BA5A1}" type="presParOf" srcId="{020EED3B-51A8-4119-925C-455C9F230D25}" destId="{91B525EA-2C10-4BB9-B7BF-D34DF142C1FF}" srcOrd="0" destOrd="0" presId="urn:microsoft.com/office/officeart/2005/8/layout/hierarchy2"/>
    <dgm:cxn modelId="{FBEFAB46-EFE3-46F9-B414-811BCE91B272}" type="presParOf" srcId="{020EED3B-51A8-4119-925C-455C9F230D25}" destId="{B4EF3E70-31F7-4FD3-BAEA-B2B0093A14D2}" srcOrd="1" destOrd="0" presId="urn:microsoft.com/office/officeart/2005/8/layout/hierarchy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5AB5201-88EB-4D56-B2A7-F47D42F22C0E}">
      <dsp:nvSpPr>
        <dsp:cNvPr id="0" name=""/>
        <dsp:cNvSpPr/>
      </dsp:nvSpPr>
      <dsp:spPr>
        <a:xfrm>
          <a:off x="5024314" y="2132735"/>
          <a:ext cx="1005009" cy="502504"/>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Reduced Hospitalizations</a:t>
          </a:r>
        </a:p>
      </dsp:txBody>
      <dsp:txXfrm>
        <a:off x="5039032" y="2147453"/>
        <a:ext cx="975573" cy="473068"/>
      </dsp:txXfrm>
    </dsp:sp>
    <dsp:sp modelId="{7780C80A-6B30-4C14-8A84-D6EE2D7CE7AB}">
      <dsp:nvSpPr>
        <dsp:cNvPr id="0" name=""/>
        <dsp:cNvSpPr/>
      </dsp:nvSpPr>
      <dsp:spPr>
        <a:xfrm rot="10800000">
          <a:off x="4622310" y="2375635"/>
          <a:ext cx="402003" cy="16704"/>
        </a:xfrm>
        <a:custGeom>
          <a:avLst/>
          <a:gdLst/>
          <a:ahLst/>
          <a:cxnLst/>
          <a:rect l="0" t="0" r="0" b="0"/>
          <a:pathLst>
            <a:path>
              <a:moveTo>
                <a:pt x="0" y="8352"/>
              </a:moveTo>
              <a:lnTo>
                <a:pt x="402003" y="835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4813262" y="2373938"/>
        <a:ext cx="20100" cy="20100"/>
      </dsp:txXfrm>
    </dsp:sp>
    <dsp:sp modelId="{2B2DE534-851C-4DF6-8055-F92D95392E23}">
      <dsp:nvSpPr>
        <dsp:cNvPr id="0" name=""/>
        <dsp:cNvSpPr/>
      </dsp:nvSpPr>
      <dsp:spPr>
        <a:xfrm>
          <a:off x="3617300" y="2132735"/>
          <a:ext cx="1005009" cy="502504"/>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Better Quality of Care</a:t>
          </a:r>
        </a:p>
      </dsp:txBody>
      <dsp:txXfrm>
        <a:off x="3632018" y="2147453"/>
        <a:ext cx="975573" cy="473068"/>
      </dsp:txXfrm>
    </dsp:sp>
    <dsp:sp modelId="{E783ED3D-240D-4C6F-976D-9DB37C494764}">
      <dsp:nvSpPr>
        <dsp:cNvPr id="0" name=""/>
        <dsp:cNvSpPr/>
      </dsp:nvSpPr>
      <dsp:spPr>
        <a:xfrm rot="15460326">
          <a:off x="2474864" y="1455909"/>
          <a:ext cx="1882867" cy="16704"/>
        </a:xfrm>
        <a:custGeom>
          <a:avLst/>
          <a:gdLst/>
          <a:ahLst/>
          <a:cxnLst/>
          <a:rect l="0" t="0" r="0" b="0"/>
          <a:pathLst>
            <a:path>
              <a:moveTo>
                <a:pt x="0" y="8352"/>
              </a:moveTo>
              <a:lnTo>
                <a:pt x="1882867" y="835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3369226" y="1417190"/>
        <a:ext cx="94143" cy="94143"/>
      </dsp:txXfrm>
    </dsp:sp>
    <dsp:sp modelId="{0CE6F5C1-F34B-48C7-9004-96CB1DBB3322}">
      <dsp:nvSpPr>
        <dsp:cNvPr id="0" name=""/>
        <dsp:cNvSpPr/>
      </dsp:nvSpPr>
      <dsp:spPr>
        <a:xfrm>
          <a:off x="2210286" y="293283"/>
          <a:ext cx="1005009" cy="502504"/>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Improved Staffing </a:t>
          </a:r>
        </a:p>
      </dsp:txBody>
      <dsp:txXfrm>
        <a:off x="2225004" y="308001"/>
        <a:ext cx="975573" cy="473068"/>
      </dsp:txXfrm>
    </dsp:sp>
    <dsp:sp modelId="{140F75B4-372E-4DF6-8BF0-36F5D23E16B5}">
      <dsp:nvSpPr>
        <dsp:cNvPr id="0" name=""/>
        <dsp:cNvSpPr/>
      </dsp:nvSpPr>
      <dsp:spPr>
        <a:xfrm rot="12942401">
          <a:off x="1761749" y="391713"/>
          <a:ext cx="495069" cy="16704"/>
        </a:xfrm>
        <a:custGeom>
          <a:avLst/>
          <a:gdLst/>
          <a:ahLst/>
          <a:cxnLst/>
          <a:rect l="0" t="0" r="0" b="0"/>
          <a:pathLst>
            <a:path>
              <a:moveTo>
                <a:pt x="0" y="8352"/>
              </a:moveTo>
              <a:lnTo>
                <a:pt x="495069"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96907" y="387689"/>
        <a:ext cx="24753" cy="24753"/>
      </dsp:txXfrm>
    </dsp:sp>
    <dsp:sp modelId="{D7CC15D9-924A-478F-8AF7-7B2EBE7BA7F6}">
      <dsp:nvSpPr>
        <dsp:cNvPr id="0" name=""/>
        <dsp:cNvSpPr/>
      </dsp:nvSpPr>
      <dsp:spPr>
        <a:xfrm>
          <a:off x="803272" y="4343"/>
          <a:ext cx="1005009" cy="5025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24 Hour RN Presence </a:t>
          </a:r>
        </a:p>
      </dsp:txBody>
      <dsp:txXfrm>
        <a:off x="817990" y="19061"/>
        <a:ext cx="975573" cy="473068"/>
      </dsp:txXfrm>
    </dsp:sp>
    <dsp:sp modelId="{9845EA74-0B6B-4CCE-A601-7E52DF31F951}">
      <dsp:nvSpPr>
        <dsp:cNvPr id="0" name=""/>
        <dsp:cNvSpPr/>
      </dsp:nvSpPr>
      <dsp:spPr>
        <a:xfrm rot="8657599">
          <a:off x="1761749" y="680653"/>
          <a:ext cx="495069" cy="16704"/>
        </a:xfrm>
        <a:custGeom>
          <a:avLst/>
          <a:gdLst/>
          <a:ahLst/>
          <a:cxnLst/>
          <a:rect l="0" t="0" r="0" b="0"/>
          <a:pathLst>
            <a:path>
              <a:moveTo>
                <a:pt x="0" y="8352"/>
              </a:moveTo>
              <a:lnTo>
                <a:pt x="495069"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96907" y="676629"/>
        <a:ext cx="24753" cy="24753"/>
      </dsp:txXfrm>
    </dsp:sp>
    <dsp:sp modelId="{52D038FA-4859-4270-9E7A-AD5EDE9E9A5B}">
      <dsp:nvSpPr>
        <dsp:cNvPr id="0" name=""/>
        <dsp:cNvSpPr/>
      </dsp:nvSpPr>
      <dsp:spPr>
        <a:xfrm>
          <a:off x="803272" y="582223"/>
          <a:ext cx="1005009" cy="5025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Nurse Practitioner on Site </a:t>
          </a:r>
        </a:p>
      </dsp:txBody>
      <dsp:txXfrm>
        <a:off x="817990" y="596941"/>
        <a:ext cx="975573" cy="473068"/>
      </dsp:txXfrm>
    </dsp:sp>
    <dsp:sp modelId="{E5AE97E1-F5D3-4EDA-A979-BC0D13733702}">
      <dsp:nvSpPr>
        <dsp:cNvPr id="0" name=""/>
        <dsp:cNvSpPr/>
      </dsp:nvSpPr>
      <dsp:spPr>
        <a:xfrm rot="12990156">
          <a:off x="3166243" y="2226887"/>
          <a:ext cx="500110" cy="16704"/>
        </a:xfrm>
        <a:custGeom>
          <a:avLst/>
          <a:gdLst/>
          <a:ahLst/>
          <a:cxnLst/>
          <a:rect l="0" t="0" r="0" b="0"/>
          <a:pathLst>
            <a:path>
              <a:moveTo>
                <a:pt x="0" y="8352"/>
              </a:moveTo>
              <a:lnTo>
                <a:pt x="500110" y="835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3403795" y="2222737"/>
        <a:ext cx="25005" cy="25005"/>
      </dsp:txXfrm>
    </dsp:sp>
    <dsp:sp modelId="{55BFF917-06C7-4F21-B991-976AD424C1A1}">
      <dsp:nvSpPr>
        <dsp:cNvPr id="0" name=""/>
        <dsp:cNvSpPr/>
      </dsp:nvSpPr>
      <dsp:spPr>
        <a:xfrm>
          <a:off x="2210286" y="1835240"/>
          <a:ext cx="1005009" cy="502504"/>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Improved Communication </a:t>
          </a:r>
        </a:p>
      </dsp:txBody>
      <dsp:txXfrm>
        <a:off x="2225004" y="1849958"/>
        <a:ext cx="975573" cy="473068"/>
      </dsp:txXfrm>
    </dsp:sp>
    <dsp:sp modelId="{AC216025-F703-4CC1-8208-4FEBA064485F}">
      <dsp:nvSpPr>
        <dsp:cNvPr id="0" name=""/>
        <dsp:cNvSpPr/>
      </dsp:nvSpPr>
      <dsp:spPr>
        <a:xfrm rot="14180472">
          <a:off x="1646626" y="1776280"/>
          <a:ext cx="725316" cy="16704"/>
        </a:xfrm>
        <a:custGeom>
          <a:avLst/>
          <a:gdLst/>
          <a:ahLst/>
          <a:cxnLst/>
          <a:rect l="0" t="0" r="0" b="0"/>
          <a:pathLst>
            <a:path>
              <a:moveTo>
                <a:pt x="0" y="8352"/>
              </a:moveTo>
              <a:lnTo>
                <a:pt x="725316"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91151" y="1766499"/>
        <a:ext cx="36265" cy="36265"/>
      </dsp:txXfrm>
    </dsp:sp>
    <dsp:sp modelId="{2C703A17-925A-47FA-982E-A4A7EFBE4D0A}">
      <dsp:nvSpPr>
        <dsp:cNvPr id="0" name=""/>
        <dsp:cNvSpPr/>
      </dsp:nvSpPr>
      <dsp:spPr>
        <a:xfrm>
          <a:off x="276225" y="1160104"/>
          <a:ext cx="1532057" cy="6453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End of Life Preferences Assessed and Honored </a:t>
          </a:r>
        </a:p>
      </dsp:txBody>
      <dsp:txXfrm>
        <a:off x="295126" y="1179005"/>
        <a:ext cx="1494255" cy="607535"/>
      </dsp:txXfrm>
    </dsp:sp>
    <dsp:sp modelId="{B306FB30-5662-4A6C-A390-C56036193483}">
      <dsp:nvSpPr>
        <dsp:cNvPr id="0" name=""/>
        <dsp:cNvSpPr/>
      </dsp:nvSpPr>
      <dsp:spPr>
        <a:xfrm rot="10411903">
          <a:off x="1806994" y="2100928"/>
          <a:ext cx="404579" cy="16704"/>
        </a:xfrm>
        <a:custGeom>
          <a:avLst/>
          <a:gdLst/>
          <a:ahLst/>
          <a:cxnLst/>
          <a:rect l="0" t="0" r="0" b="0"/>
          <a:pathLst>
            <a:path>
              <a:moveTo>
                <a:pt x="0" y="8352"/>
              </a:moveTo>
              <a:lnTo>
                <a:pt x="404579"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99170" y="2099166"/>
        <a:ext cx="20228" cy="20228"/>
      </dsp:txXfrm>
    </dsp:sp>
    <dsp:sp modelId="{D56658E2-CBC9-44A5-8218-11E088D05D73}">
      <dsp:nvSpPr>
        <dsp:cNvPr id="0" name=""/>
        <dsp:cNvSpPr/>
      </dsp:nvSpPr>
      <dsp:spPr>
        <a:xfrm>
          <a:off x="377831" y="1880817"/>
          <a:ext cx="1430450" cy="5025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Improved Physician and RN Communication </a:t>
          </a:r>
        </a:p>
      </dsp:txBody>
      <dsp:txXfrm>
        <a:off x="392549" y="1895535"/>
        <a:ext cx="1401014" cy="473068"/>
      </dsp:txXfrm>
    </dsp:sp>
    <dsp:sp modelId="{6A87E14E-B678-4959-91B7-47EA6062E0B3}">
      <dsp:nvSpPr>
        <dsp:cNvPr id="0" name=""/>
        <dsp:cNvSpPr/>
      </dsp:nvSpPr>
      <dsp:spPr>
        <a:xfrm rot="7368829">
          <a:off x="1638371" y="2389869"/>
          <a:ext cx="741826" cy="16704"/>
        </a:xfrm>
        <a:custGeom>
          <a:avLst/>
          <a:gdLst/>
          <a:ahLst/>
          <a:cxnLst/>
          <a:rect l="0" t="0" r="0" b="0"/>
          <a:pathLst>
            <a:path>
              <a:moveTo>
                <a:pt x="0" y="8352"/>
              </a:moveTo>
              <a:lnTo>
                <a:pt x="741826"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90739" y="2379675"/>
        <a:ext cx="37091" cy="37091"/>
      </dsp:txXfrm>
    </dsp:sp>
    <dsp:sp modelId="{ECCDAB5F-C839-4039-A402-64DBDC30309C}">
      <dsp:nvSpPr>
        <dsp:cNvPr id="0" name=""/>
        <dsp:cNvSpPr/>
      </dsp:nvSpPr>
      <dsp:spPr>
        <a:xfrm>
          <a:off x="803272" y="2458698"/>
          <a:ext cx="1005009" cy="5025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Availablity of Lab Results </a:t>
          </a:r>
        </a:p>
      </dsp:txBody>
      <dsp:txXfrm>
        <a:off x="817990" y="2473416"/>
        <a:ext cx="975573" cy="473068"/>
      </dsp:txXfrm>
    </dsp:sp>
    <dsp:sp modelId="{3BC35BB0-0747-46EA-A572-1FFC326D8AD1}">
      <dsp:nvSpPr>
        <dsp:cNvPr id="0" name=""/>
        <dsp:cNvSpPr/>
      </dsp:nvSpPr>
      <dsp:spPr>
        <a:xfrm rot="6139674">
          <a:off x="2474864" y="3295361"/>
          <a:ext cx="1882867" cy="16704"/>
        </a:xfrm>
        <a:custGeom>
          <a:avLst/>
          <a:gdLst/>
          <a:ahLst/>
          <a:cxnLst/>
          <a:rect l="0" t="0" r="0" b="0"/>
          <a:pathLst>
            <a:path>
              <a:moveTo>
                <a:pt x="0" y="8352"/>
              </a:moveTo>
              <a:lnTo>
                <a:pt x="1882867" y="835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3369226" y="3256642"/>
        <a:ext cx="94143" cy="94143"/>
      </dsp:txXfrm>
    </dsp:sp>
    <dsp:sp modelId="{BF311934-62A2-4D69-994D-160B4C04E53D}">
      <dsp:nvSpPr>
        <dsp:cNvPr id="0" name=""/>
        <dsp:cNvSpPr/>
      </dsp:nvSpPr>
      <dsp:spPr>
        <a:xfrm>
          <a:off x="2210286" y="3972187"/>
          <a:ext cx="1005009" cy="502504"/>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Improved Disease Management </a:t>
          </a:r>
        </a:p>
      </dsp:txBody>
      <dsp:txXfrm>
        <a:off x="2225004" y="3986905"/>
        <a:ext cx="975573" cy="473068"/>
      </dsp:txXfrm>
    </dsp:sp>
    <dsp:sp modelId="{3CBED734-1420-487A-85CC-9E422DC7E0D2}">
      <dsp:nvSpPr>
        <dsp:cNvPr id="0" name=""/>
        <dsp:cNvSpPr/>
      </dsp:nvSpPr>
      <dsp:spPr>
        <a:xfrm rot="14804893">
          <a:off x="1500125" y="3747283"/>
          <a:ext cx="1018317" cy="16704"/>
        </a:xfrm>
        <a:custGeom>
          <a:avLst/>
          <a:gdLst/>
          <a:ahLst/>
          <a:cxnLst/>
          <a:rect l="0" t="0" r="0" b="0"/>
          <a:pathLst>
            <a:path>
              <a:moveTo>
                <a:pt x="0" y="8352"/>
              </a:moveTo>
              <a:lnTo>
                <a:pt x="1018317"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83826" y="3730177"/>
        <a:ext cx="50915" cy="50915"/>
      </dsp:txXfrm>
    </dsp:sp>
    <dsp:sp modelId="{ED13FC0E-2652-4A82-BDB6-89353AC65441}">
      <dsp:nvSpPr>
        <dsp:cNvPr id="0" name=""/>
        <dsp:cNvSpPr/>
      </dsp:nvSpPr>
      <dsp:spPr>
        <a:xfrm>
          <a:off x="803272" y="3036578"/>
          <a:ext cx="1005009" cy="5025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Improved Chronic Disease Management </a:t>
          </a:r>
        </a:p>
      </dsp:txBody>
      <dsp:txXfrm>
        <a:off x="817990" y="3051296"/>
        <a:ext cx="975573" cy="473068"/>
      </dsp:txXfrm>
    </dsp:sp>
    <dsp:sp modelId="{A154311A-069A-4768-AFC5-2394F787F650}">
      <dsp:nvSpPr>
        <dsp:cNvPr id="0" name=""/>
        <dsp:cNvSpPr/>
      </dsp:nvSpPr>
      <dsp:spPr>
        <a:xfrm rot="12942401">
          <a:off x="1761749" y="4070617"/>
          <a:ext cx="495069" cy="16704"/>
        </a:xfrm>
        <a:custGeom>
          <a:avLst/>
          <a:gdLst/>
          <a:ahLst/>
          <a:cxnLst/>
          <a:rect l="0" t="0" r="0" b="0"/>
          <a:pathLst>
            <a:path>
              <a:moveTo>
                <a:pt x="0" y="8352"/>
              </a:moveTo>
              <a:lnTo>
                <a:pt x="495069"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96907" y="4066593"/>
        <a:ext cx="24753" cy="24753"/>
      </dsp:txXfrm>
    </dsp:sp>
    <dsp:sp modelId="{4896B0F1-6F39-448B-92BF-B5EC4C371FEF}">
      <dsp:nvSpPr>
        <dsp:cNvPr id="0" name=""/>
        <dsp:cNvSpPr/>
      </dsp:nvSpPr>
      <dsp:spPr>
        <a:xfrm>
          <a:off x="803272" y="3614459"/>
          <a:ext cx="1005009" cy="6400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Early Detection of Signs and Symptoms of Infection </a:t>
          </a:r>
        </a:p>
      </dsp:txBody>
      <dsp:txXfrm>
        <a:off x="822019" y="3633206"/>
        <a:ext cx="967515" cy="602586"/>
      </dsp:txXfrm>
    </dsp:sp>
    <dsp:sp modelId="{D128B14A-7B0D-48A3-A2FF-3CCAE4B53368}">
      <dsp:nvSpPr>
        <dsp:cNvPr id="0" name=""/>
        <dsp:cNvSpPr/>
      </dsp:nvSpPr>
      <dsp:spPr>
        <a:xfrm rot="8294267">
          <a:off x="1726394" y="4399685"/>
          <a:ext cx="554313" cy="16704"/>
        </a:xfrm>
        <a:custGeom>
          <a:avLst/>
          <a:gdLst/>
          <a:ahLst/>
          <a:cxnLst/>
          <a:rect l="0" t="0" r="0" b="0"/>
          <a:pathLst>
            <a:path>
              <a:moveTo>
                <a:pt x="0" y="8352"/>
              </a:moveTo>
              <a:lnTo>
                <a:pt x="554313"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89693" y="4394180"/>
        <a:ext cx="27715" cy="27715"/>
      </dsp:txXfrm>
    </dsp:sp>
    <dsp:sp modelId="{51A5A684-0685-47D6-9D3B-F2D7115B5C4D}">
      <dsp:nvSpPr>
        <dsp:cNvPr id="0" name=""/>
        <dsp:cNvSpPr/>
      </dsp:nvSpPr>
      <dsp:spPr>
        <a:xfrm>
          <a:off x="791805" y="4341383"/>
          <a:ext cx="1005009" cy="5025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Functional Status </a:t>
          </a:r>
        </a:p>
      </dsp:txBody>
      <dsp:txXfrm>
        <a:off x="806523" y="4356101"/>
        <a:ext cx="975573" cy="473068"/>
      </dsp:txXfrm>
    </dsp:sp>
    <dsp:sp modelId="{5EF97E54-2FC2-42FC-85E4-8201DD810207}">
      <dsp:nvSpPr>
        <dsp:cNvPr id="0" name=""/>
        <dsp:cNvSpPr/>
      </dsp:nvSpPr>
      <dsp:spPr>
        <a:xfrm rot="6795107">
          <a:off x="1500125" y="4682892"/>
          <a:ext cx="1018317" cy="16704"/>
        </a:xfrm>
        <a:custGeom>
          <a:avLst/>
          <a:gdLst/>
          <a:ahLst/>
          <a:cxnLst/>
          <a:rect l="0" t="0" r="0" b="0"/>
          <a:pathLst>
            <a:path>
              <a:moveTo>
                <a:pt x="0" y="8352"/>
              </a:moveTo>
              <a:lnTo>
                <a:pt x="1018317" y="8352"/>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rot="10800000">
        <a:off x="1983826" y="4665786"/>
        <a:ext cx="50915" cy="50915"/>
      </dsp:txXfrm>
    </dsp:sp>
    <dsp:sp modelId="{91B525EA-2C10-4BB9-B7BF-D34DF142C1FF}">
      <dsp:nvSpPr>
        <dsp:cNvPr id="0" name=""/>
        <dsp:cNvSpPr/>
      </dsp:nvSpPr>
      <dsp:spPr>
        <a:xfrm>
          <a:off x="803272" y="4907796"/>
          <a:ext cx="1005009" cy="5025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Use of Antipsychotics </a:t>
          </a:r>
        </a:p>
      </dsp:txBody>
      <dsp:txXfrm>
        <a:off x="817990" y="4922514"/>
        <a:ext cx="975573" cy="47306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15687E"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957D9"/>
    <w:rsid w:val="0015687E"/>
    <w:rsid w:val="00160241"/>
    <w:rsid w:val="002B5F47"/>
    <w:rsid w:val="003A1E4B"/>
    <w:rsid w:val="00455EB5"/>
    <w:rsid w:val="00461C1C"/>
    <w:rsid w:val="004E2027"/>
    <w:rsid w:val="005F21F3"/>
    <w:rsid w:val="0086237B"/>
    <w:rsid w:val="00887560"/>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A2347-BB98-415A-AAA8-87B98CBE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4037</Words>
  <Characters>23015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Kiran Sreenivas</cp:lastModifiedBy>
  <cp:revision>4</cp:revision>
  <dcterms:created xsi:type="dcterms:W3CDTF">2016-01-15T21:26:00Z</dcterms:created>
  <dcterms:modified xsi:type="dcterms:W3CDTF">2016-07-18T17:28:00Z</dcterms:modified>
</cp:coreProperties>
</file>